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spacing w:before="0" w:after="40"/>
              <w:jc w:val="center"/>
              <w:rPr/>
            </w:pPr>
            <w:r>
              <w:rPr/>
              <w:drawing>
                <wp:inline distT="0" distB="0" distL="0" distR="0">
                  <wp:extent cx="2148840" cy="1224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spacing w:before="0" w:after="40"/>
              <w:jc w:val="start"/>
              <w:rPr/>
            </w:pPr>
            <w:r>
              <w:rPr>
                <w:rFonts w:eastAsia="Mendl Sans Dusk Medium" w:cs="Mendl Sans Dusk Medium"/>
                <w:b/>
                <w:color w:val="BD9264"/>
                <w:sz w:val="18"/>
              </w:rPr>
              <w:t>CONTROLLED ENTERPRISE DOCUMENT</w:t>
            </w:r>
          </w:p>
          <w:p>
            <w:pPr>
              <w:pStyle w:val="Normal"/>
              <w:spacing w:before="0" w:after="40"/>
              <w:jc w:val="start"/>
              <w:rPr/>
            </w:pPr>
            <w:r>
              <w:rPr>
                <w:rFonts w:eastAsia="Mendl Sans Dusk Bold" w:cs="Mendl Sans Dusk Bold"/>
                <w:b/>
                <w:color w:val="386851"/>
                <w:sz w:val="48"/>
              </w:rPr>
              <w:t>TBT-01.16 | Wind Safety Crane Limits</w:t>
            </w:r>
          </w:p>
          <w:p>
            <w:pPr>
              <w:pStyle w:val="Normal"/>
              <w:spacing w:before="0" w:after="40"/>
              <w:jc w:val="start"/>
              <w:rPr/>
            </w:pPr>
            <w:r>
              <w:rPr>
                <w:rFonts w:eastAsia="Mendl Sans Dusk Medium" w:cs="Mendl Sans Dusk Medium"/>
                <w:b w:val="false"/>
                <w:color w:val="386851"/>
                <w:sz w:val="20"/>
              </w:rPr>
              <w:t>MH Construction, INC Enterprise Management System</w:t>
            </w:r>
          </w:p>
          <w:p>
            <w:pPr>
              <w:pStyle w:val="Normal"/>
              <w:spacing w:before="0" w:after="40"/>
              <w:jc w:val="start"/>
              <w:rPr/>
            </w:pPr>
            <w:r>
              <w:rPr>
                <w:rFonts w:eastAsia="Mendl Sans Dusk Regular" w:cs="Mendl Sans Dusk Regular"/>
                <w:b w:val="false"/>
                <w:color w:val="434343"/>
                <w:sz w:val="18"/>
              </w:rPr>
              <w:t>Document family: TOOLBOX TALK LIBRARY</w:t>
              <w:br/>
              <w:t>Document title: TBT-01.16 | Wind Safety Crane Limits</w:t>
              <w:br/>
              <w:t>Version: 1.0 | Lifecycle: Rough Draft</w:t>
            </w:r>
          </w:p>
          <w:p>
            <w:pPr>
              <w:pStyle w:val="Normal"/>
              <w:pBdr>
                <w:bottom w:val="single" w:sz="6" w:space="7" w:color="BD9264"/>
              </w:pBdr>
              <w:spacing w:before="120" w:after="40"/>
              <w:rPr/>
            </w:pPr>
            <w:r>
              <w:rPr>
                <w:rFonts w:eastAsia="Mendl Sans Dusk Medium" w:cs="Mendl Sans Dusk Medium"/>
                <w:b w:val="false"/>
                <w:color w:val="434343"/>
                <w:sz w:val="16"/>
              </w:rPr>
              <w:t>Use only after required functional, technical, field-usability, and approval gates are complete.</w:t>
            </w:r>
          </w:p>
        </w:tc>
      </w:tr>
    </w:tbl>
    <w:p>
      <w:pPr>
        <w:pStyle w:val="Normal"/>
        <w:rPr/>
      </w:pPr>
      <w:r>
        <w:rPr/>
      </w:r>
      <w:r>
        <w:br w:type="page"/>
      </w:r>
    </w:p>
    <w:p>
      <w:pPr>
        <w:pStyle w:val="Normal"/>
        <w:spacing w:before="0" w:after="120"/>
        <w:rPr/>
      </w:pPr>
      <w:r>
        <w:rPr/>
        <w:t>Control: Version 1.0 | Status Rough Draft | Author and Chief Editor: Matt Ramsey | Co-Editor: Todd Shoeff | Final Approver: Jeremy Thamert</w:t>
      </w:r>
    </w:p>
    <w:p>
      <w:pPr>
        <w:pStyle w:val="Title"/>
        <w:widowControl/>
        <w:jc w:val="center"/>
        <w:rPr/>
      </w:pPr>
      <w:r>
        <w:rPr>
          <w:rFonts w:eastAsia="Mendl Sans Dusk Bold" w:cs="Mendl Sans Dusk Bold" w:ascii="Mendl Sans Dusk Bold" w:hAnsi="Mendl Sans Dusk Bold"/>
          <w:b/>
          <w:i w:val="false"/>
          <w:color w:val="386851"/>
          <w:sz w:val="54"/>
        </w:rPr>
        <w:t>MH Construction, INC</w:t>
      </w:r>
    </w:p>
    <w:p>
      <w:pPr>
        <w:pStyle w:val="Normal"/>
        <w:widowControl/>
        <w:jc w:val="center"/>
        <w:rPr/>
      </w:pPr>
      <w:r>
        <w:rPr>
          <w:rFonts w:eastAsia="Mendl Sans Dusk Regular" w:cs="Mendl Sans Dusk Regular"/>
          <w:b/>
          <w:i w:val="false"/>
          <w:color w:val="000000"/>
          <w:sz w:val="22"/>
        </w:rPr>
        <w:t>TOOLBOX TALK: TBT-01.16</w:t>
      </w:r>
    </w:p>
    <w:p>
      <w:pPr>
        <w:pStyle w:val="Normal"/>
        <w:widowControl/>
        <w:jc w:val="center"/>
        <w:rPr/>
      </w:pPr>
      <w:r>
        <w:rPr>
          <w:rFonts w:eastAsia="Mendl Sans Dusk Regular" w:cs="Mendl Sans Dusk Regular"/>
          <w:b/>
          <w:i w:val="false"/>
          <w:color w:val="000000"/>
          <w:sz w:val="22"/>
        </w:rPr>
        <w:t>TOPIC: Wind Safety, Crane Limits &amp; Pasco Weather Protocols</w:t>
      </w:r>
    </w:p>
    <w:p>
      <w:pPr>
        <w:pStyle w:val="Normal"/>
        <w:widowControl/>
        <w:jc w:val="center"/>
        <w:rPr/>
      </w:pPr>
      <w:r>
        <w:rPr>
          <w:rFonts w:eastAsia="Mendl Sans Dusk Regular" w:cs="Mendl Sans Dusk Regular"/>
          <w:b w:val="false"/>
          <w:i/>
          <w:color w:val="000000"/>
          <w:sz w:val="22"/>
        </w:rPr>
        <w:t>TRACK: Track 4 Universal (Mandatory for Spring &amp; Fall Operations)</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1. DIRECTIVE (Policy Standard)</w:t>
      </w:r>
    </w:p>
    <w:p>
      <w:pPr>
        <w:pStyle w:val="Normal"/>
        <w:widowControl/>
        <w:rPr/>
      </w:pPr>
      <w:r>
        <w:rPr>
          <w:rFonts w:eastAsia="Mendl Sans Dusk Regular" w:cs="Mendl Sans Dusk Regular"/>
          <w:b w:val="false"/>
          <w:i w:val="false"/>
          <w:color w:val="000000"/>
          <w:sz w:val="22"/>
        </w:rPr>
        <w:t>MH Construction, INC strictly enforces wind limits across all operations. No crane lift, elevated steel erection, or high-profile material handling shall occur when sustained winds exceed 20 MPH or gusts exceed 30 MPH, or lower if dictated by the equipment manufacturer’s specifications. Pasco seasonal wind events require proactive site securing.</w:t>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2. GENERAL ORDER (Execution Standard)</w:t>
      </w:r>
    </w:p>
    <w:p>
      <w:pPr>
        <w:pStyle w:val="Normal"/>
        <w:widowControl/>
        <w:rPr/>
      </w:pPr>
      <w:r>
        <w:rPr>
          <w:rFonts w:eastAsia="Mendl Sans Dusk Regular" w:cs="Mendl Sans Dusk Regular"/>
          <w:b w:val="false"/>
          <w:i w:val="false"/>
          <w:color w:val="000000"/>
          <w:sz w:val="22"/>
        </w:rPr>
        <w:t>The Columbia Basin experiences severe, sudden wind events, primarily in Spring (March-May) and Fall (September-November). The Superintendent or Foreman is the final authority on halting work due to wind. All loose materials must be strapped, banded, or weighted at the end of every shift. When wind speeds approach limits, all elevated work (roofing, scaffolding, structural steel) must be assessed continuously.</w:t>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3. KEY HAZARDS &amp; MITIGATION (The "What If")</w:t>
      </w:r>
    </w:p>
    <w:p>
      <w:pPr>
        <w:pStyle w:val="ListBullet"/>
        <w:widowControl/>
        <w:numPr>
          <w:ilvl w:val="0"/>
          <w:numId w:val="1"/>
        </w:numPr>
        <w:rPr/>
      </w:pPr>
      <w:r>
        <w:rPr>
          <w:rFonts w:eastAsia="Mendl Sans Dusk Regular" w:cs="Mendl Sans Dusk Regular"/>
          <w:b w:val="false"/>
          <w:i w:val="false"/>
          <w:color w:val="000000"/>
          <w:sz w:val="22"/>
        </w:rPr>
        <w:t>SCENARIO: Crane Operations in Gusting Winds</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A sudden gust catches a large surface area load (e.g., PEMB wall panel, plywood bundle), causing it to swing uncontrollably or exceed the crane’s load chart limits.</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The Operator and Rigger must calculate the "sail area" of the load. Taglines are mandatory on ALL lifts. If the load cannot be controlled by two taglines, the lift is scrubbed. Do not attempt to muscle a swinging load.</w:t>
      </w:r>
    </w:p>
    <w:p>
      <w:pPr>
        <w:pStyle w:val="ListBullet"/>
        <w:widowControl/>
        <w:numPr>
          <w:ilvl w:val="0"/>
          <w:numId w:val="1"/>
        </w:numPr>
        <w:rPr/>
      </w:pPr>
      <w:r>
        <w:rPr>
          <w:rFonts w:eastAsia="Mendl Sans Dusk Regular" w:cs="Mendl Sans Dusk Regular"/>
          <w:b w:val="false"/>
          <w:i w:val="false"/>
          <w:color w:val="000000"/>
          <w:sz w:val="22"/>
        </w:rPr>
        <w:t>SCENARIO: Roofing, Scaffolding, and Elevated Steel</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Wind speeds at 40 feet are significantly higher than at ground level. Workers carrying sheet metal, decking, or insulation boards act as sails, leading to loss of balance and falls.</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WISHA requires fall protection at 4 feet. Ensure 100% tie-off. If carrying materials becomes unstable, lower the materials and descend. Do not stack loose decking or insulation on the roof without immediate mechanical fastening or heavy weighting.</w:t>
      </w:r>
    </w:p>
    <w:p>
      <w:pPr>
        <w:pStyle w:val="ListBullet"/>
        <w:widowControl/>
        <w:numPr>
          <w:ilvl w:val="0"/>
          <w:numId w:val="1"/>
        </w:numPr>
        <w:rPr/>
      </w:pPr>
      <w:r>
        <w:rPr>
          <w:rFonts w:eastAsia="Mendl Sans Dusk Regular" w:cs="Mendl Sans Dusk Regular"/>
          <w:b w:val="false"/>
          <w:i w:val="false"/>
          <w:color w:val="000000"/>
          <w:sz w:val="22"/>
        </w:rPr>
        <w:t>SCENARIO: Road Work, Trenching, and Civil Operations</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High winds generate massive dust clouds (Silica hazard) and blow over traffic control devices, exposing crews to live traffic.</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Water trucks must run continuously. If dust cannot be controlled, work stops. All traffic cones and barricades must be sandbagged. High-visibility Class 3 apparel is mandatory when visibility drops.</w:t>
      </w:r>
    </w:p>
    <w:p>
      <w:pPr>
        <w:pStyle w:val="ListBullet"/>
        <w:widowControl/>
        <w:numPr>
          <w:ilvl w:val="0"/>
          <w:numId w:val="1"/>
        </w:numPr>
        <w:rPr/>
      </w:pPr>
      <w:r>
        <w:rPr>
          <w:rFonts w:eastAsia="Mendl Sans Dusk Regular" w:cs="Mendl Sans Dusk Regular"/>
          <w:b w:val="false"/>
          <w:i w:val="false"/>
          <w:color w:val="000000"/>
          <w:sz w:val="22"/>
        </w:rPr>
        <w:t>SCENARIO: Fleet Operations and Material Transport</w:t>
      </w:r>
    </w:p>
    <w:p>
      <w:pPr>
        <w:pStyle w:val="Normal"/>
        <w:widowControl/>
        <w:rPr/>
      </w:pPr>
      <w:r>
        <w:rPr>
          <w:rFonts w:eastAsia="Mendl Sans Dusk Regular" w:cs="Mendl Sans Dusk Regular"/>
          <w:b/>
          <w:i w:val="false"/>
          <w:color w:val="000000"/>
          <w:sz w:val="22"/>
        </w:rPr>
        <w:t xml:space="preserve">The Hazard: </w:t>
      </w:r>
      <w:r>
        <w:rPr>
          <w:rFonts w:eastAsia="Mendl Sans Dusk Regular" w:cs="Mendl Sans Dusk Regular"/>
          <w:b w:val="false"/>
          <w:i w:val="false"/>
          <w:color w:val="000000"/>
          <w:sz w:val="22"/>
        </w:rPr>
        <w:t>Driving flatbeds or towing enclosed trailers across the I-182 bridge or exposed highways during a wind advisory.</w:t>
      </w:r>
    </w:p>
    <w:p>
      <w:pPr>
        <w:pStyle w:val="Normal"/>
        <w:widowControl/>
        <w:rPr/>
      </w:pPr>
      <w:r>
        <w:rPr>
          <w:rFonts w:eastAsia="Mendl Sans Dusk Regular" w:cs="Mendl Sans Dusk Regular"/>
          <w:b/>
          <w:i w:val="false"/>
          <w:color w:val="000000"/>
          <w:sz w:val="22"/>
        </w:rPr>
        <w:t xml:space="preserve">The Mitigation: </w:t>
      </w:r>
      <w:r>
        <w:rPr>
          <w:rFonts w:eastAsia="Mendl Sans Dusk Regular" w:cs="Mendl Sans Dusk Regular"/>
          <w:b w:val="false"/>
          <w:i w:val="false"/>
          <w:color w:val="000000"/>
          <w:sz w:val="22"/>
        </w:rPr>
        <w:t>Double-check all DOT chains and binders before departure. If hauling a light, high-profile trailer empty, reduce speed by 15 MPH or delay transport until the advisory lifts.</w:t>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4. FIELD INSTRUCTION (Immediate Action)</w:t>
      </w:r>
    </w:p>
    <w:p>
      <w:pPr>
        <w:pStyle w:val="Normal"/>
        <w:widowControl/>
        <w:rPr/>
      </w:pPr>
      <w:r>
        <w:rPr>
          <w:rFonts w:eastAsia="Mendl Sans Dusk Regular" w:cs="Mendl Sans Dusk Regular"/>
          <w:b w:val="false"/>
          <w:i w:val="false"/>
          <w:color w:val="000000"/>
          <w:sz w:val="22"/>
        </w:rPr>
        <w:t>Look around the site right now. Identify every stack of plywood, foam insulation, and loose sheet metal. Assign crews to band, strap, or weight them down before the end of the shift. Check the weather app for afternoon wind gusts.</w:t>
      </w:r>
    </w:p>
    <w:p>
      <w:pPr>
        <w:pStyle w:val="Normal"/>
        <w:widowControl/>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i w:val="false"/>
          <w:color w:val="628F79"/>
          <w:sz w:val="26"/>
        </w:rPr>
        <w:t>5. ATTENDANCE LOG</w:t>
      </w:r>
    </w:p>
    <w:p>
      <w:pPr>
        <w:pStyle w:val="Normal"/>
        <w:widowControl/>
        <w:rPr/>
      </w:pPr>
      <w:r>
        <w:rPr>
          <w:rFonts w:eastAsia="Mendl Sans Dusk Regular" w:cs="Mendl Sans Dusk Regular"/>
          <w:b w:val="false"/>
          <w:i w:val="false"/>
          <w:color w:val="000000"/>
          <w:sz w:val="22"/>
        </w:rPr>
        <w:t>Foreman: Scan the QR code below to log attendance digitally via MISH-F-10.1 on the MH Dashboard, or use the physical sign-in sheet in the site binder.</w:t>
      </w:r>
    </w:p>
    <w:p>
      <w:pPr>
        <w:pStyle w:val="Normal"/>
        <w:widowControl/>
        <w:spacing w:before="0" w:after="120"/>
        <w:jc w:val="center"/>
        <w:rPr/>
      </w:pPr>
      <w:r>
        <w:rPr>
          <w:rFonts w:eastAsia="Mendl Sans Dusk Regular" w:cs="Mendl Sans Dusk Regular"/>
          <w:b/>
          <w:i w:val="false"/>
          <w:color w:val="000000"/>
          <w:sz w:val="22"/>
        </w:rPr>
        <w:t>[ INSERT QR CODE HERE - LINK TO MISH-F-10.1 ]</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7</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7</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7</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7</Pages>
  <Words>597</Words>
  <Characters>3280</Characters>
  <CharactersWithSpaces>3838</CharactersWithSpaces>
  <Paragraphs>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2026-08-05T19:39:08Z</dcterms:modified>
  <cp:revision>7</cp:revision>
  <dc:subject>MH Ecosystem Version 3.0 Draft</dc:subject>
  <dc:title>TBT-01.16 | Wind Safety Crane Limits</dc:title>
</cp:coreProperties>
</file>

<file path=docProps/custom.xml><?xml version="1.0" encoding="utf-8"?>
<Properties xmlns="http://schemas.openxmlformats.org/officeDocument/2006/custom-properties" xmlns:vt="http://schemas.openxmlformats.org/officeDocument/2006/docPropsVTypes"/>
</file>