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878" w:type="dxa"/>
        <w:jc w:val="start"/>
        <w:tblInd w:w="108" w:type="dxa"/>
        <w:tblLayout w:type="fixed"/>
        <w:tblCellMar>
          <w:top w:w="0" w:type="dxa"/>
          <w:start w:w="108" w:type="dxa"/>
          <w:bottom w:w="0" w:type="dxa"/>
          <w:end w:w="108" w:type="dxa"/>
        </w:tblCellMar>
        <w:tblLook w:val="04a0" w:firstRow="1" w:noVBand="1" w:lastRow="0" w:firstColumn="1" w:lastColumn="0" w:noHBand="0"/>
      </w:tblPr>
      <w:tblGrid>
        <w:gridCol w:w="9878"/>
      </w:tblGrid>
      <w:tr>
        <w:trPr>
          <w:trHeight w:val="12200" w:hRule="atLeast"/>
        </w:trPr>
        <w:tc>
          <w:tcPr>
            <w:tcW w:w="9878" w:type="dxa"/>
            <w:tcBorders/>
            <w:shd w:fill="FFFFFF" w:val="clear"/>
            <w:vAlign w:val="center"/>
          </w:tcPr>
          <w:p>
            <w:pPr>
              <w:pStyle w:val="Normal"/>
              <w:spacing w:before="0" w:after="40"/>
              <w:jc w:val="center"/>
              <w:rPr/>
            </w:pPr>
            <w:r>
              <w:rPr/>
              <w:drawing>
                <wp:inline distT="0" distB="0" distL="0" distR="0">
                  <wp:extent cx="2148840" cy="12249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2148840" cy="1224915"/>
                          </a:xfrm>
                          <a:prstGeom prst="rect">
                            <a:avLst/>
                          </a:prstGeom>
                          <a:noFill/>
                        </pic:spPr>
                      </pic:pic>
                    </a:graphicData>
                  </a:graphic>
                </wp:inline>
              </w:drawing>
            </w:r>
          </w:p>
          <w:p>
            <w:pPr>
              <w:pStyle w:val="Normal"/>
              <w:spacing w:before="0" w:after="40"/>
              <w:jc w:val="start"/>
              <w:rPr/>
            </w:pPr>
            <w:r>
              <w:rPr>
                <w:rFonts w:eastAsia="Mendl Sans Dusk Medium" w:cs="Mendl Sans Dusk Medium"/>
                <w:b/>
                <w:color w:val="BD9264"/>
                <w:sz w:val="18"/>
              </w:rPr>
              <w:t>CONTROLLED ENTERPRISE DOCUMENT</w:t>
            </w:r>
          </w:p>
          <w:p>
            <w:pPr>
              <w:pStyle w:val="Normal"/>
              <w:spacing w:before="0" w:after="40"/>
              <w:jc w:val="start"/>
              <w:rPr/>
            </w:pPr>
            <w:r>
              <w:rPr>
                <w:rFonts w:eastAsia="Mendl Sans Dusk Bold" w:cs="Mendl Sans Dusk Bold"/>
                <w:b/>
                <w:color w:val="386851"/>
                <w:sz w:val="48"/>
              </w:rPr>
              <w:t>TBT-07.02 | Roofing Hot Asphalt And Kettle Safety</w:t>
            </w:r>
          </w:p>
          <w:p>
            <w:pPr>
              <w:pStyle w:val="Normal"/>
              <w:spacing w:before="0" w:after="40"/>
              <w:jc w:val="start"/>
              <w:rPr/>
            </w:pPr>
            <w:r>
              <w:rPr>
                <w:rFonts w:eastAsia="Mendl Sans Dusk Medium" w:cs="Mendl Sans Dusk Medium"/>
                <w:b w:val="false"/>
                <w:color w:val="386851"/>
                <w:sz w:val="20"/>
              </w:rPr>
              <w:t>MH Construction, INC Enterprise Management System</w:t>
            </w:r>
          </w:p>
          <w:p>
            <w:pPr>
              <w:pStyle w:val="Normal"/>
              <w:spacing w:before="0" w:after="40"/>
              <w:jc w:val="start"/>
              <w:rPr/>
            </w:pPr>
            <w:r>
              <w:rPr>
                <w:rFonts w:eastAsia="Mendl Sans Dusk Regular" w:cs="Mendl Sans Dusk Regular"/>
                <w:b w:val="false"/>
                <w:color w:val="434343"/>
                <w:sz w:val="18"/>
              </w:rPr>
              <w:t>Document family: TOOLBOX TALK LIBRARY</w:t>
              <w:br/>
              <w:t>Document title: TBT-07.02 | Roofing Hot Asphalt And Kettle Safety</w:t>
              <w:br/>
              <w:t>Version: 1.0 | Lifecycle: Rough Draft</w:t>
            </w:r>
          </w:p>
          <w:p>
            <w:pPr>
              <w:pStyle w:val="Normal"/>
              <w:pBdr>
                <w:bottom w:val="single" w:sz="6" w:space="7" w:color="BD9264"/>
              </w:pBdr>
              <w:spacing w:before="120" w:after="40"/>
              <w:rPr/>
            </w:pPr>
            <w:r>
              <w:rPr>
                <w:rFonts w:eastAsia="Mendl Sans Dusk Medium" w:cs="Mendl Sans Dusk Medium"/>
                <w:b w:val="false"/>
                <w:color w:val="434343"/>
                <w:sz w:val="16"/>
              </w:rPr>
              <w:t>Use only after required functional, technical, field-usability, and approval gates are complete.</w:t>
            </w:r>
          </w:p>
        </w:tc>
      </w:tr>
    </w:tbl>
    <w:p>
      <w:pPr>
        <w:pStyle w:val="Normal"/>
        <w:rPr/>
      </w:pPr>
      <w:r>
        <w:rPr/>
      </w:r>
      <w:r>
        <w:br w:type="page"/>
      </w:r>
    </w:p>
    <w:p>
      <w:pPr>
        <w:pStyle w:val="Normal"/>
        <w:spacing w:before="0" w:after="120"/>
        <w:rPr/>
      </w:pPr>
      <w:r>
        <w:rPr/>
        <w:t>Control: Version 1.0 | Status Rough Draft | Author and Chief Editor: Matt Ramsey | Co-Editor: Todd Shoeff | Final Approver: Jeremy Thamert</w:t>
      </w:r>
    </w:p>
    <w:p>
      <w:pPr>
        <w:pStyle w:val="Heading1"/>
        <w:widowControl/>
        <w:jc w:val="center"/>
        <w:rPr/>
      </w:pPr>
      <w:r>
        <w:rPr>
          <w:rFonts w:eastAsia="Mendl Sans Dusk Bold" w:cs="Mendl Sans Dusk Bold" w:ascii="Mendl Sans Dusk Bold" w:hAnsi="Mendl Sans Dusk Bold"/>
          <w:b/>
          <w:i w:val="false"/>
          <w:color w:val="386851"/>
          <w:sz w:val="32"/>
        </w:rPr>
        <w:t>TBT-07.02: Roofing Hot Asphalt &amp; Kettle Safety</w:t>
      </w:r>
    </w:p>
    <w:p>
      <w:pPr>
        <w:pStyle w:val="Normal"/>
        <w:widowControl/>
        <w:jc w:val="center"/>
        <w:rPr/>
      </w:pPr>
      <w:r>
        <w:rPr>
          <w:rFonts w:eastAsia="Mendl Sans Dusk Regular" w:cs="Mendl Sans Dusk Regular"/>
          <w:b w:val="false"/>
          <w:i w:val="false"/>
          <w:color w:val="000000"/>
          <w:sz w:val="22"/>
        </w:rPr>
        <w:t>CSI Division: Div 07 | Track Assignment: Track 2 Structural &amp; Steel</w:t>
      </w:r>
    </w:p>
    <w:p>
      <w:pPr>
        <w:pStyle w:val="Heading2"/>
        <w:widowControl/>
        <w:rPr/>
      </w:pPr>
      <w:r>
        <w:rPr>
          <w:rFonts w:eastAsia="Mendl Sans Dusk Medium" w:cs="Mendl Sans Dusk Medium" w:ascii="Mendl Sans Dusk Medium" w:hAnsi="Mendl Sans Dusk Medium"/>
          <w:b/>
          <w:i w:val="false"/>
          <w:color w:val="628F79"/>
          <w:sz w:val="26"/>
        </w:rPr>
        <w:t>DIRECTIVE</w:t>
      </w:r>
    </w:p>
    <w:p>
      <w:pPr>
        <w:pStyle w:val="Normal"/>
        <w:widowControl/>
        <w:rPr/>
      </w:pPr>
      <w:r>
        <w:rPr>
          <w:rFonts w:eastAsia="Mendl Sans Dusk Regular" w:cs="Mendl Sans Dusk Regular"/>
          <w:b w:val="false"/>
          <w:i w:val="false"/>
          <w:color w:val="000000"/>
          <w:sz w:val="22"/>
        </w:rPr>
        <w:t>Roofing kettles must be continuously monitored while firing. Keep fire extinguishers within 25 feet of the kettle.</w:t>
      </w:r>
    </w:p>
    <w:p>
      <w:pPr>
        <w:pStyle w:val="Heading2"/>
        <w:widowControl/>
        <w:rPr/>
      </w:pPr>
      <w:r>
        <w:rPr>
          <w:rFonts w:eastAsia="Mendl Sans Dusk Medium" w:cs="Mendl Sans Dusk Medium" w:ascii="Mendl Sans Dusk Medium" w:hAnsi="Mendl Sans Dusk Medium"/>
          <w:b/>
          <w:i w:val="false"/>
          <w:color w:val="628F79"/>
          <w:sz w:val="26"/>
        </w:rPr>
        <w:t>GENERAL ORDER</w:t>
      </w:r>
    </w:p>
    <w:p>
      <w:pPr>
        <w:pStyle w:val="Normal"/>
        <w:widowControl/>
        <w:rPr/>
      </w:pPr>
      <w:r>
        <w:rPr>
          <w:rFonts w:eastAsia="Mendl Sans Dusk Regular" w:cs="Mendl Sans Dusk Regular"/>
          <w:b w:val="false"/>
          <w:i w:val="false"/>
          <w:color w:val="000000"/>
          <w:sz w:val="22"/>
        </w:rPr>
        <w:t>Wear long sleeves, heavy gloves, and a face shield when handling hot tar. Do not operate kettles near building air intakes.</w:t>
      </w:r>
    </w:p>
    <w:p>
      <w:pPr>
        <w:pStyle w:val="Heading2"/>
        <w:widowControl/>
        <w:rPr/>
      </w:pPr>
      <w:r>
        <w:rPr>
          <w:rFonts w:eastAsia="Mendl Sans Dusk Medium" w:cs="Mendl Sans Dusk Medium" w:ascii="Mendl Sans Dusk Medium" w:hAnsi="Mendl Sans Dusk Medium"/>
          <w:b/>
          <w:i w:val="false"/>
          <w:color w:val="628F79"/>
          <w:sz w:val="26"/>
        </w:rPr>
        <w:t>Key Hazards &amp; Mitigation (The 'What If')</w:t>
      </w:r>
    </w:p>
    <w:p>
      <w:pPr>
        <w:pStyle w:val="ListBullet"/>
        <w:widowControl/>
        <w:numPr>
          <w:ilvl w:val="0"/>
          <w:numId w:val="1"/>
        </w:numPr>
        <w:rPr/>
      </w:pPr>
      <w:r>
        <w:rPr>
          <w:rFonts w:eastAsia="Mendl Sans Dusk Regular" w:cs="Mendl Sans Dusk Regular"/>
          <w:b w:val="false"/>
          <w:i w:val="false"/>
          <w:color w:val="000000"/>
          <w:sz w:val="22"/>
        </w:rPr>
        <w:t>Kettle flashes over — use dry chemical extinguisher, shut off fuel source.</w:t>
      </w:r>
    </w:p>
    <w:p>
      <w:pPr>
        <w:pStyle w:val="ListBullet"/>
        <w:widowControl/>
        <w:numPr>
          <w:ilvl w:val="0"/>
          <w:numId w:val="1"/>
        </w:numPr>
        <w:rPr/>
      </w:pPr>
      <w:r>
        <w:rPr>
          <w:rFonts w:eastAsia="Mendl Sans Dusk Regular" w:cs="Mendl Sans Dusk Regular"/>
          <w:b w:val="false"/>
          <w:i w:val="false"/>
          <w:color w:val="000000"/>
          <w:sz w:val="22"/>
        </w:rPr>
        <w:t>Worker slips carrying hot bucket — maintain clear paths, do not overfill buckets.</w:t>
      </w:r>
    </w:p>
    <w:p>
      <w:pPr>
        <w:pStyle w:val="ListBullet"/>
        <w:widowControl/>
        <w:numPr>
          <w:ilvl w:val="0"/>
          <w:numId w:val="1"/>
        </w:numPr>
        <w:rPr/>
      </w:pPr>
      <w:r>
        <w:rPr>
          <w:rFonts w:eastAsia="Mendl Sans Dusk Regular" w:cs="Mendl Sans Dusk Regular"/>
          <w:b w:val="false"/>
          <w:i w:val="false"/>
          <w:color w:val="000000"/>
          <w:sz w:val="22"/>
        </w:rPr>
        <w:t>Fumes enter building — shut down kettle, coordinate with HVAC to close intakes.</w:t>
      </w:r>
    </w:p>
    <w:p>
      <w:pPr>
        <w:pStyle w:val="Heading2"/>
        <w:widowControl/>
        <w:rPr/>
      </w:pPr>
      <w:r>
        <w:rPr>
          <w:rFonts w:eastAsia="Mendl Sans Dusk Medium" w:cs="Mendl Sans Dusk Medium" w:ascii="Mendl Sans Dusk Medium" w:hAnsi="Mendl Sans Dusk Medium"/>
          <w:b/>
          <w:i w:val="false"/>
          <w:color w:val="628F79"/>
          <w:sz w:val="26"/>
        </w:rPr>
        <w:t>FIELD INSTRUCTION</w:t>
      </w:r>
    </w:p>
    <w:p>
      <w:pPr>
        <w:pStyle w:val="Normal"/>
        <w:widowControl/>
        <w:rPr/>
      </w:pPr>
      <w:r>
        <w:rPr>
          <w:rFonts w:eastAsia="Mendl Sans Dusk Regular" w:cs="Mendl Sans Dusk Regular"/>
          <w:b/>
          <w:i w:val="false"/>
          <w:color w:val="000000"/>
          <w:sz w:val="22"/>
        </w:rPr>
        <w:t>Foreman: Ensure a fully charged 20-lb ABC fire extinguisher is stationed at the kettle before lighting.</w:t>
      </w:r>
    </w:p>
    <w:p>
      <w:pPr>
        <w:pStyle w:val="Heading2"/>
        <w:widowControl/>
        <w:rPr/>
      </w:pPr>
      <w:r>
        <w:rPr>
          <w:rFonts w:eastAsia="Mendl Sans Dusk Medium" w:cs="Mendl Sans Dusk Medium" w:ascii="Mendl Sans Dusk Medium" w:hAnsi="Mendl Sans Dusk Medium"/>
          <w:b/>
          <w:i w:val="false"/>
          <w:color w:val="628F79"/>
          <w:sz w:val="26"/>
        </w:rPr>
        <w:t>Attendance Roster (MISH-F-10.1)</w:t>
      </w:r>
    </w:p>
    <w:tbl>
      <w:tblPr>
        <w:tblStyle w:val="TableGrid"/>
        <w:tblW w:w="8640"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880"/>
        <w:gridCol w:w="2880"/>
        <w:gridCol w:w="2880"/>
      </w:tblGrid>
      <w:tr>
        <w:trPr/>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Print Name</w:t>
            </w:r>
          </w:p>
        </w:tc>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Signature</w:t>
            </w:r>
          </w:p>
        </w:tc>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Date</w:t>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widowControl/>
        <w:spacing w:before="0" w:after="120"/>
        <w:rPr/>
      </w:pPr>
      <w:r>
        <w:rPr>
          <w:rFonts w:eastAsia="Mendl Sans Dusk Regular" w:cs="Mendl Sans Dusk Regular"/>
          <w:sz w:val="22"/>
        </w:rPr>
        <w:t>Toolbox Talk Documentation &amp; Sign-Off</w:t>
        <w:br/>
        <w:t xml:space="preserve">This Toolbox Talk (TBT) is a mandatory component of the MH Construction, INC Industrial Safety &amp; Health (MISH) Program. All site personnel, including subcontractors and temporary laborers, must attend this briefing before commencing related work activities. </w:t>
        <w:br/>
        <w:br/>
        <w:t>The Site Safety Commander or designated Foreman is responsible for delivering this content, ensuring comprehension, and documenting attendance. Failure to adhere to the safety protocols outlined herein may result in disciplinary action up to and including removal from the jobsite.</w:t>
        <w:br/>
        <w:br/>
        <w:t>By signing the daily attendance log (Form MISH-F-10.1), you acknowledge that you have received, understood, and agree to comply with the safety directives presented in this Toolbox Talk.</w:t>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181" w:right="1181" w:gutter="0" w:header="432" w:top="1123" w:footer="432" w:bottom="1037"/>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swiss"/>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Mendl Sans Dusk Bold">
    <w:charset w:val="00" w:characterSet="windows-1252"/>
    <w:family w:val="roman"/>
    <w:pitch w:val="variable"/>
  </w:font>
  <w:font w:name="Mendl Sans Dusk Medium">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Fonts w:eastAsia="Mendl Sans Dusk Regular" w:cs="Mendl Sans Dusk Regular"/>
        <w:b w:val="false"/>
        <w:color w:val="C39A6B"/>
        <w:sz w:val="14"/>
      </w:rPr>
      <w:t xml:space="preserve">CONTROLLED DRAFT | PAGE </w:t>
    </w:r>
    <w:r>
      <w:rPr/>
      <w:fldChar w:fldCharType="begin"/>
    </w:r>
    <w:r>
      <w:rPr/>
      <w:instrText xml:space="preserve"> PAGE </w:instrText>
    </w:r>
    <w:r>
      <w:rPr/>
      <w:fldChar w:fldCharType="separate"/>
    </w:r>
    <w:r>
      <w:rPr/>
      <w:t>2</w:t>
    </w:r>
    <w:r>
      <w:rPr/>
      <w:fldChar w:fldCharType="end"/>
    </w:r>
    <w:r>
      <w:rPr>
        <w:rFonts w:eastAsia="Mendl Sans Dusk Regular" w:cs="Mendl Sans Dusk Regular"/>
        <w:b w:val="false"/>
        <w:color w:val="C39A6B"/>
        <w:sz w:val="14"/>
      </w:rPr>
      <w:t xml:space="preserve"> OF </w:t>
    </w:r>
    <w:r>
      <w:rPr/>
      <w:fldChar w:fldCharType="begin"/>
    </w:r>
    <w:r>
      <w:rPr/>
      <w:instrText xml:space="preserve"> NUMPAGES </w:instrText>
    </w:r>
    <w:r>
      <w:rPr/>
      <w:fldChar w:fldCharType="separate"/>
    </w:r>
    <w:r>
      <w:rPr/>
      <w:t>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Fonts w:eastAsia="Mendl Sans Dusk Regular" w:cs="Mendl Sans Dusk Regular"/>
        <w:b w:val="false"/>
        <w:color w:val="C39A6B"/>
        <w:sz w:val="14"/>
      </w:rPr>
      <w:t xml:space="preserve">CONTROLLED DRAFT | PAGE </w:t>
    </w:r>
    <w:r>
      <w:rPr/>
      <w:fldChar w:fldCharType="begin"/>
    </w:r>
    <w:r>
      <w:rPr/>
      <w:instrText xml:space="preserve"> PAGE </w:instrText>
    </w:r>
    <w:r>
      <w:rPr/>
      <w:fldChar w:fldCharType="separate"/>
    </w:r>
    <w:r>
      <w:rPr/>
      <w:t>1</w:t>
    </w:r>
    <w:r>
      <w:rPr/>
      <w:fldChar w:fldCharType="end"/>
    </w:r>
    <w:r>
      <w:rPr>
        <w:rFonts w:eastAsia="Mendl Sans Dusk Regular" w:cs="Mendl Sans Dusk Regular"/>
        <w:b w:val="false"/>
        <w:color w:val="C39A6B"/>
        <w:sz w:val="14"/>
      </w:rPr>
      <w:t xml:space="preserve"> OF </w:t>
    </w:r>
    <w:r>
      <w:rPr/>
      <w:fldChar w:fldCharType="begin"/>
    </w:r>
    <w:r>
      <w:rPr/>
      <w:instrText xml:space="preserve"> NUMPAGES </w:instrText>
    </w:r>
    <w:r>
      <w:rPr/>
      <w:fldChar w:fldCharType="separate"/>
    </w:r>
    <w:r>
      <w:rPr/>
      <w:t>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Fonts w:eastAsia="Mendl Sans Dusk Medium" w:cs="Mendl Sans Dusk Medium" w:ascii="Mendl Sans Dusk Medium" w:hAnsi="Mendl Sans Dusk Medium"/>
        <w:b/>
        <w:color w:val="356B52"/>
        <w:sz w:val="14"/>
      </w:rPr>
      <w:t>MH Construction, INC | CONTROLLED ECOSYSTEM | MHC-GC.COM</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40" w:before="0" w:after="90"/>
      <w:jc w:val="start"/>
    </w:pPr>
    <w:rPr>
      <w:rFonts w:ascii="Arial" w:hAnsi="Arial" w:eastAsia="Arial" w:cs=""/>
      <w:color w:val="000000"/>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360" w:after="160"/>
      <w:outlineLvl w:val="0"/>
    </w:pPr>
    <w:rPr>
      <w:rFonts w:ascii="Calibri" w:hAnsi="Calibri" w:eastAsia="" w:cs="" w:asciiTheme="majorHAnsi" w:cstheme="majorBidi" w:eastAsiaTheme="majorEastAsia" w:hAnsiTheme="majorHAnsi"/>
      <w:b/>
      <w:bCs/>
      <w:color w:val="386851"/>
      <w:sz w:val="36"/>
      <w:szCs w:val="28"/>
    </w:rPr>
  </w:style>
  <w:style w:type="paragraph" w:styleId="Heading2">
    <w:name w:val="heading 2"/>
    <w:basedOn w:val="Normal"/>
    <w:next w:val="Normal"/>
    <w:link w:val="Heading2Char"/>
    <w:uiPriority w:val="9"/>
    <w:unhideWhenUsed/>
    <w:qFormat/>
    <w:rsid w:val="00fc693f"/>
    <w:pPr>
      <w:keepNext w:val="true"/>
      <w:keepLines/>
      <w:spacing w:before="240" w:after="120"/>
      <w:outlineLvl w:val="1"/>
    </w:pPr>
    <w:rPr>
      <w:rFonts w:ascii="Calibri" w:hAnsi="Calibri" w:eastAsia="" w:cs="" w:asciiTheme="majorHAnsi" w:cstheme="majorBidi" w:eastAsiaTheme="majorEastAsia" w:hAnsiTheme="majorHAnsi"/>
      <w:b/>
      <w:bCs/>
      <w:color w:val="386851"/>
      <w:sz w:val="30"/>
      <w:szCs w:val="26"/>
    </w:rPr>
  </w:style>
  <w:style w:type="paragraph" w:styleId="Heading3">
    <w:name w:val="heading 3"/>
    <w:basedOn w:val="Normal"/>
    <w:next w:val="Normal"/>
    <w:link w:val="Heading3Char"/>
    <w:uiPriority w:val="9"/>
    <w:unhideWhenUsed/>
    <w:qFormat/>
    <w:rsid w:val="00fc693f"/>
    <w:pPr>
      <w:keepNext w:val="true"/>
      <w:keepLines/>
      <w:spacing w:before="180" w:after="80"/>
      <w:outlineLvl w:val="2"/>
    </w:pPr>
    <w:rPr>
      <w:rFonts w:ascii="Calibri" w:hAnsi="Calibri" w:eastAsia="" w:cs="" w:asciiTheme="majorHAnsi" w:cstheme="majorBidi" w:eastAsiaTheme="majorEastAsia" w:hAnsiTheme="majorHAnsi"/>
      <w:b/>
      <w:bCs/>
      <w:color w:val="BD9264"/>
      <w:sz w:val="23"/>
    </w:rPr>
  </w:style>
  <w:style w:type="paragraph" w:styleId="Heading4">
    <w:name w:val="heading 4"/>
    <w:basedOn w:val="Normal"/>
    <w:next w:val="Normal"/>
    <w:link w:val="Heading4Char"/>
    <w:uiPriority w:val="9"/>
    <w:semiHidden/>
    <w:unhideWhenUsed/>
    <w:qFormat/>
    <w:rsid w:val="00fc693f"/>
    <w:pPr>
      <w:keepNext w:val="true"/>
      <w:keepLines/>
      <w:spacing w:before="120" w:after="60"/>
      <w:outlineLvl w:val="3"/>
    </w:pPr>
    <w:rPr>
      <w:rFonts w:ascii="Calibri" w:hAnsi="Calibri" w:eastAsia="" w:cs="" w:asciiTheme="majorHAnsi" w:cstheme="majorBidi" w:eastAsiaTheme="majorEastAsia" w:hAnsiTheme="majorHAnsi"/>
      <w:b/>
      <w:bCs/>
      <w:i/>
      <w:iCs/>
      <w:color w:val="386851"/>
      <w:sz w:val="20"/>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pBdr>
        <w:bottom w:val="single" w:sz="8" w:space="4" w:color="4F81BD" w:themeColor="accent1"/>
      </w:pBdr>
      <w:spacing w:lineRule="auto" w:line="240" w:before="0" w:after="240"/>
      <w:contextualSpacing/>
    </w:pPr>
    <w:rPr>
      <w:rFonts w:ascii="Calibri" w:hAnsi="Calibri" w:eastAsia="" w:cs="" w:asciiTheme="majorHAnsi" w:cstheme="majorBidi" w:eastAsiaTheme="majorEastAsia" w:hAnsiTheme="majorHAnsi"/>
      <w:b/>
      <w:color w:val="386851"/>
      <w:spacing w:val="5"/>
      <w:kern w:val="2"/>
      <w:sz w:val="50"/>
      <w:szCs w:val="52"/>
    </w:rPr>
  </w:style>
  <w:style w:type="paragraph" w:styleId="Subtitle">
    <w:name w:val="Subtitle"/>
    <w:basedOn w:val="Normal"/>
    <w:next w:val="Normal"/>
    <w:link w:val="SubtitleChar"/>
    <w:uiPriority w:val="11"/>
    <w:qFormat/>
    <w:rsid w:val="00fc693f"/>
    <w:pPr>
      <w:keepNext w:val="true"/>
      <w:spacing w:before="0" w:after="160"/>
    </w:pPr>
    <w:rPr>
      <w:rFonts w:ascii="Calibri" w:hAnsi="Calibri" w:eastAsia="" w:cs="" w:asciiTheme="majorHAnsi" w:cstheme="majorBidi" w:eastAsiaTheme="majorEastAsia" w:hAnsiTheme="majorHAnsi"/>
      <w:b/>
      <w:i/>
      <w:iCs/>
      <w:color w:val="BD9264"/>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LibreOffice/26.2.5.2$Windows_X86_64 LibreOffice_project/cd7284b4cbbfeb507e630c1aac019f4157393acb</Application>
  <AppVersion>15.0000</AppVersion>
  <Pages>2</Pages>
  <Words>334</Words>
  <Characters>1898</Characters>
  <CharactersWithSpaces>2209</CharactersWithSpaces>
  <Paragraphs>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Matt Ramsey</dc:creator>
  <dc:description>Controlled Rough Draft. Not approved for operational use.</dc:description>
  <dc:language>en-US</dc:language>
  <cp:lastModifiedBy/>
  <dcterms:modified xsi:type="dcterms:W3CDTF">2026-08-05T19:39:14Z</dcterms:modified>
  <cp:revision>7</cp:revision>
  <dc:subject>MH Ecosystem Version 3.0 Draft</dc:subject>
  <dc:title>TBT-07.02 | Roofing Hot Asphalt And Kettle Safety</dc:title>
</cp:coreProperties>
</file>

<file path=docProps/custom.xml><?xml version="1.0" encoding="utf-8"?>
<Properties xmlns="http://schemas.openxmlformats.org/officeDocument/2006/custom-properties" xmlns:vt="http://schemas.openxmlformats.org/officeDocument/2006/docPropsVTypes"/>
</file>