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TBT-11.02 | Equipment Mobilization And Site Setup</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TBT-11.02 | Equipment Mobilization And Site Setup</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TBT-11.02: Equipment Mobilization &amp; Site Setup</w:t>
      </w:r>
    </w:p>
    <w:p>
      <w:pPr>
        <w:pStyle w:val="Normal"/>
        <w:widowControl/>
        <w:rPr/>
      </w:pPr>
      <w:r>
        <w:rPr>
          <w:rFonts w:eastAsia="Mendl Sans Dusk Regular" w:cs="Mendl Sans Dusk Regular"/>
          <w:b w:val="false"/>
          <w:i w:val="false"/>
          <w:color w:val="000000"/>
          <w:sz w:val="22"/>
        </w:rPr>
        <w:t>CSI Division: Div 11 | OSHA Reference: 29 CFR 1926.602</w:t>
      </w:r>
    </w:p>
    <w:p>
      <w:pPr>
        <w:pStyle w:val="Normal"/>
        <w:widowControl/>
        <w:rPr/>
      </w:pPr>
      <w:r>
        <w:rPr>
          <w:rFonts w:eastAsia="Mendl Sans Dusk Regular" w:cs="Mendl Sans Dusk Regular"/>
          <w:b w:val="false"/>
          <w:i w:val="false"/>
          <w:color w:val="000000"/>
          <w:sz w:val="22"/>
        </w:rPr>
        <w:t>Delivery: Mandatory before offloading heavy equipment or establishing site laydown yards.</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All heavy equipment mobilization must follow a pre-planned route, utilizing designated spotters during all backing and offloading operations.</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The Foreman must walk the offload zone prior to the lowboy's arrival to identify overhead power lines, soft ground, and pedestrian traffic routes. Spotters must wear high-visibility apparel and maintain eye contact with the operator.</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Overhead Power Lines: If the lowboy must pass under power lines, verify the 10-foot minimum clearance rule. If clearance is questionable, stop and contact the utility provider.</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Ramp Slip: If it is raining or the equipment tracks are muddy, the risk of sliding off the lowboy ramps increases. Clean the tracks and ramps, and ensure the lowboy is parked on level, stable ground.</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Spotter Blind Spot: If the operator loses sight of the spotter in their mirrors, they must stop the machine immediately. Do not move until visual contact is re-established.</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review PEP-F-02.1 (Project Initiation Checklist) and complete MISH-F-40.1 (Daily Equipment Inspection) immediately after offload. Log attendance on MISH-F-10.1.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314</Words>
  <Characters>1829</Characters>
  <CharactersWithSpaces>2121</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2026-08-05T19:39:17Z</dcterms:modified>
  <cp:revision>7</cp:revision>
  <dc:subject>MH Ecosystem Version 3.0 Draft</dc:subject>
  <dc:title>TBT-11.02 | Equipment Mobilization And Site Setup</dc:title>
</cp:coreProperties>
</file>

<file path=docProps/custom.xml><?xml version="1.0" encoding="utf-8"?>
<Properties xmlns="http://schemas.openxmlformats.org/officeDocument/2006/custom-properties" xmlns:vt="http://schemas.openxmlformats.org/officeDocument/2006/docPropsVTypes"/>
</file>