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TBT-14.01 | Crane Operations And Critical Lifts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TBT-14.01 | Crane Operations And Critical Lifts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TBT-14.01: Crane Operations &amp; Critical Lifts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14 | OSHA Reference: 29 CFR 1926.1400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before any crane mobilization or lift exceeding 75% of capacity.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All crane lifts must be planned and executed under the direction of a designated Lift Director. Any lift exceeding 75% of the crane's capacity, or involving multiple cranes, is a Critical Lift requiring an approved MISH-F-38.1 plan.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The crane must be set up on firm, level ground with fully extended outriggers on engineered pads. Only one designated rigger/signal person may communicate with the operator during the lift.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Wind Speed Limits: If sustained winds exceed 20 mph, or the crane manufacturer's limit, the lift must be suspended. The operator has final stop-work authority.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Outrigger Sinking: If the crane is set up near an excavation and an outrigger pad begins to sink into the soil, stop the lift immediately, lower the load, and reposition the crane.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Multiple Signalers: If three different workers are shouting instructions or giving hand signals to the operator, the operator must stop all movement until the single designated signaler is identified.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verify the crane operator's NCCCO certification and review the MISH-F-38.1 Lift Plan before the crane hooks the first load.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329</Words>
  <Characters>1837</Characters>
  <CharactersWithSpaces>2144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2026-08-05T19:39:19Z</dcterms:modified>
  <cp:revision>7</cp:revision>
  <dc:subject>MH Ecosystem Version 3.0 Draft</dc:subject>
  <dc:title>TBT-14.01 | Crane Operations And Critical Lifts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