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TBT-23.01 | Hvac Rigging And Roof Installations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TBT-23.01 | Hvac Rigging And Roof Installations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TBT-23.01: HVAC Rigging &amp; Roof Installations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23 | OSHA Reference: 29 CFR 1926.251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for mechanical crews setting RTUs (Roof Top Units) or heavy ductwork.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All RTU crane picks must utilize spreader bars to prevent the rigging slings from crushing the unit's sheet metal casing.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Workers receiving the RTU on the roof must be tied off if working within 6 feet of the edge. Tag lines must be used to guide the unit onto the curb—never place hands between the unit and the curb.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Wind Catching the Unit: If a large RTU is hoisted in a 15 mph wind, it acts like a sail. The tag line operators must be positioned to control the spin without being pulled off the roof.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Crush Point at the Curb: If the unit is swinging slightly as it comes down, a worker trying to align the corner with their hands will lose their fingers. Use a pry bar to make final adjustments once the weight is on the curb.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Unsecured Ductwork: If large spiral duct is staged on the roof before installation, it will roll off in high winds. Chock and strap all staged ductwork immediately.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verify the rigging configuration and tag line assignments before the crane hooks the RTU. Log attendance on MISH-F-10.1.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340</Words>
  <Characters>1728</Characters>
  <CharactersWithSpaces>2045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2026-08-05T19:39:21Z</dcterms:modified>
  <cp:revision>7</cp:revision>
  <dc:subject>MH Ecosystem Version 3.0 Draft</dc:subject>
  <dc:title>TBT-23.01 | Hvac Rigging And Roof Installations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