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TBT-26.03 | Temporary Lighting And Gfci Protection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TBT-26.03 | Temporary Lighting And Gfci Protection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TBT-26.03: Temporary Lighting &amp; GFCI Protection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26 | OSHA Reference: 29 CFR 1926.405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crews utilizing temporary power on site.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120-volt, single-phase, 15- and 20-ampere receptacle outlets on construction sites must have Ground-Fault Circuit Interrupter (GFCI) protection.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Temporary lighting strings must be suspended by their non-conductive molded hangers, not by the electrical wire itself. Bulbs must be protected by wire guards.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Daisy-Chaining Cords: If a crew plugs three 100-foot extension cords together to reach a work area, the voltage drop will damage tools and create a fire hazard. Use a temporary spider box closer to the work.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Missing Ground Prong: If an extension cord or tool is missing the third (ground) prong, it must be cut and thrown away. Do not plug it in.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Water in the Box: If a temporary power box is sitting in a puddle after a rainstorm, do not touch it. Have the electrician elevate it and verify the GFCI is functioning.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instruct crews to inspect all extension cords for cuts and missing ground prongs before plugging in today.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309</Words>
  <Characters>1693</Characters>
  <CharactersWithSpaces>1980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2026-08-05T19:39:23Z</dcterms:modified>
  <cp:revision>7</cp:revision>
  <dc:subject>MH Ecosystem Version 3.0 Draft</dc:subject>
  <dc:title>TBT-26.03 | Temporary Lighting And Gfci Protection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