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TBT-31.04 | Traffic Control And Flagger Safety</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TOOLBOX TALK LIBRARY</w:t>
              <w:br/>
              <w:t>Document title: TBT-31.04 | Traffic Control And Flagger Safety</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Heading1"/>
        <w:widowControl/>
        <w:jc w:val="center"/>
        <w:rPr/>
      </w:pPr>
      <w:r>
        <w:rPr>
          <w:rFonts w:eastAsia="Mendl Sans Dusk Bold" w:cs="Mendl Sans Dusk Bold" w:ascii="Mendl Sans Dusk Bold" w:hAnsi="Mendl Sans Dusk Bold"/>
          <w:b/>
          <w:i w:val="false"/>
          <w:color w:val="386851"/>
          <w:sz w:val="32"/>
        </w:rPr>
        <w:t>TBT-31.04: Traffic Control &amp; Flagger Safety</w:t>
      </w:r>
    </w:p>
    <w:p>
      <w:pPr>
        <w:pStyle w:val="Normal"/>
        <w:widowControl/>
        <w:rPr/>
      </w:pPr>
      <w:r>
        <w:rPr>
          <w:rFonts w:eastAsia="Mendl Sans Dusk Regular" w:cs="Mendl Sans Dusk Regular"/>
          <w:b w:val="false"/>
          <w:i w:val="false"/>
          <w:color w:val="000000"/>
          <w:sz w:val="22"/>
        </w:rPr>
        <w:t>CSI Division: Div 31 | OSHA Reference: MUTCD Part 6</w:t>
      </w:r>
    </w:p>
    <w:p>
      <w:pPr>
        <w:pStyle w:val="Normal"/>
        <w:widowControl/>
        <w:rPr/>
      </w:pPr>
      <w:r>
        <w:rPr>
          <w:rFonts w:eastAsia="Mendl Sans Dusk Regular" w:cs="Mendl Sans Dusk Regular"/>
          <w:b w:val="false"/>
          <w:i w:val="false"/>
          <w:color w:val="000000"/>
          <w:sz w:val="22"/>
        </w:rPr>
        <w:t>Delivery: Mandatory for all crews working in or adjacent to public roadways.</w:t>
      </w:r>
    </w:p>
    <w:p>
      <w:pPr>
        <w:pStyle w:val="Heading2"/>
        <w:widowControl/>
        <w:rPr/>
      </w:pPr>
      <w:r>
        <w:rPr>
          <w:rFonts w:eastAsia="Mendl Sans Dusk Medium" w:cs="Mendl Sans Dusk Medium" w:ascii="Mendl Sans Dusk Medium" w:hAnsi="Mendl Sans Dusk Medium"/>
          <w:b/>
          <w:i w:val="false"/>
          <w:color w:val="628F79"/>
          <w:sz w:val="26"/>
        </w:rPr>
        <w:t>DIRECTIVE — Policy Standard</w:t>
      </w:r>
    </w:p>
    <w:p>
      <w:pPr>
        <w:pStyle w:val="Normal"/>
        <w:widowControl/>
        <w:rPr/>
      </w:pPr>
      <w:r>
        <w:rPr>
          <w:rFonts w:eastAsia="Mendl Sans Dusk Regular" w:cs="Mendl Sans Dusk Regular"/>
          <w:b w:val="false"/>
          <w:i w:val="false"/>
          <w:color w:val="000000"/>
          <w:sz w:val="22"/>
        </w:rPr>
        <w:t>All flaggers must be certified and wear ANSI Class 3 high-visibility apparel. Traffic control zones must be established with proper advance warning signs before work begins.</w:t>
      </w:r>
    </w:p>
    <w:p>
      <w:pPr>
        <w:pStyle w:val="Heading3"/>
        <w:widowControl/>
        <w:rPr/>
      </w:pPr>
      <w:r>
        <w:rPr>
          <w:rFonts w:eastAsia="Mendl Sans Dusk Medium" w:cs="Mendl Sans Dusk Medium" w:ascii="Mendl Sans Dusk Medium" w:hAnsi="Mendl Sans Dusk Medium"/>
          <w:b/>
          <w:i w:val="false"/>
          <w:color w:val="1E392C"/>
          <w:sz w:val="23"/>
        </w:rPr>
        <w:t>GENERAL ORDER — Procedure</w:t>
      </w:r>
    </w:p>
    <w:p>
      <w:pPr>
        <w:pStyle w:val="Normal"/>
        <w:widowControl/>
        <w:rPr/>
      </w:pPr>
      <w:r>
        <w:rPr>
          <w:rFonts w:eastAsia="Mendl Sans Dusk Regular" w:cs="Mendl Sans Dusk Regular"/>
          <w:b w:val="false"/>
          <w:i w:val="false"/>
          <w:color w:val="000000"/>
          <w:sz w:val="22"/>
        </w:rPr>
        <w:t>Flaggers must stand on the shoulder or in the barricaded lane—never in the open traffic lane. They must maintain an escape route at all times and never turn their back to oncoming traffic.</w:t>
      </w:r>
    </w:p>
    <w:p>
      <w:pPr>
        <w:pStyle w:val="Heading3"/>
        <w:widowControl/>
        <w:rPr/>
      </w:pPr>
      <w:r>
        <w:rPr>
          <w:rFonts w:eastAsia="Mendl Sans Dusk Medium" w:cs="Mendl Sans Dusk Medium" w:ascii="Mendl Sans Dusk Medium" w:hAnsi="Mendl Sans Dusk Medium"/>
          <w:b/>
          <w:i w:val="false"/>
          <w:color w:val="1E392C"/>
          <w:sz w:val="23"/>
        </w:rPr>
        <w:t>Key Hazards &amp; Mitigation (The 'What If'):</w:t>
      </w:r>
    </w:p>
    <w:p>
      <w:pPr>
        <w:pStyle w:val="Normal"/>
        <w:widowControl/>
        <w:rPr/>
      </w:pPr>
      <w:r>
        <w:rPr>
          <w:rFonts w:eastAsia="Mendl Sans Dusk Regular" w:cs="Mendl Sans Dusk Regular"/>
          <w:b w:val="false"/>
          <w:i w:val="false"/>
          <w:color w:val="000000"/>
          <w:sz w:val="22"/>
        </w:rPr>
        <w:t xml:space="preserve">• </w:t>
      </w:r>
      <w:r>
        <w:rPr>
          <w:rFonts w:eastAsia="Mendl Sans Dusk Regular" w:cs="Mendl Sans Dusk Regular"/>
          <w:b w:val="false"/>
          <w:i w:val="false"/>
          <w:color w:val="000000"/>
          <w:sz w:val="22"/>
        </w:rPr>
        <w:t>Aggressive Driver: If a driver ignores the STOP paddle and breaches the work zone, the flagger must blow their warning whistle to alert the crew and utilize their escape route. Do not try to block the vehicle.</w:t>
      </w:r>
    </w:p>
    <w:p>
      <w:pPr>
        <w:pStyle w:val="Normal"/>
        <w:widowControl/>
        <w:rPr/>
      </w:pPr>
      <w:r>
        <w:rPr>
          <w:rFonts w:eastAsia="Mendl Sans Dusk Regular" w:cs="Mendl Sans Dusk Regular"/>
          <w:b w:val="false"/>
          <w:i w:val="false"/>
          <w:color w:val="000000"/>
          <w:sz w:val="22"/>
        </w:rPr>
        <w:t xml:space="preserve">• </w:t>
      </w:r>
      <w:r>
        <w:rPr>
          <w:rFonts w:eastAsia="Mendl Sans Dusk Regular" w:cs="Mendl Sans Dusk Regular"/>
          <w:b w:val="false"/>
          <w:i w:val="false"/>
          <w:color w:val="000000"/>
          <w:sz w:val="22"/>
        </w:rPr>
        <w:t>Night Operations: If the pour extends past dusk, Class 3 apparel and illuminated STOP/SLOW paddles are mandatory. The flagger station must be illuminated by a light plant.</w:t>
      </w:r>
    </w:p>
    <w:p>
      <w:pPr>
        <w:pStyle w:val="Normal"/>
        <w:widowControl/>
        <w:rPr/>
      </w:pPr>
      <w:r>
        <w:rPr>
          <w:rFonts w:eastAsia="Mendl Sans Dusk Regular" w:cs="Mendl Sans Dusk Regular"/>
          <w:b w:val="false"/>
          <w:i w:val="false"/>
          <w:color w:val="000000"/>
          <w:sz w:val="22"/>
        </w:rPr>
        <w:t xml:space="preserve">• </w:t>
      </w:r>
      <w:r>
        <w:rPr>
          <w:rFonts w:eastAsia="Mendl Sans Dusk Regular" w:cs="Mendl Sans Dusk Regular"/>
          <w:b w:val="false"/>
          <w:i w:val="false"/>
          <w:color w:val="000000"/>
          <w:sz w:val="22"/>
        </w:rPr>
        <w:t>Distracted Flagger: If a flagger is looking at their phone, they are a liability to the entire crew. Foremen must remove distracted flaggers from the roadway immediately.</w:t>
      </w:r>
    </w:p>
    <w:p>
      <w:pPr>
        <w:pStyle w:val="Heading4"/>
        <w:widowControl/>
        <w:rPr/>
      </w:pPr>
      <w:r>
        <w:rPr>
          <w:rFonts w:eastAsia="Mendl Sans Dusk Regular" w:cs="Mendl Sans Dusk Regular" w:ascii="Mendl Sans Dusk Regular" w:hAnsi="Mendl Sans Dusk Regular"/>
          <w:b/>
          <w:i w:val="false"/>
          <w:color w:val="000000"/>
          <w:sz w:val="22"/>
        </w:rPr>
        <w:t>FIELD INSTRUCTION — Execution</w:t>
      </w:r>
    </w:p>
    <w:p>
      <w:pPr>
        <w:pStyle w:val="Normal"/>
        <w:widowControl/>
        <w:rPr/>
      </w:pPr>
      <w:r>
        <w:rPr>
          <w:rFonts w:eastAsia="Mendl Sans Dusk Regular" w:cs="Mendl Sans Dusk Regular"/>
          <w:b/>
          <w:i/>
          <w:color w:val="BD9264"/>
          <w:sz w:val="20"/>
        </w:rPr>
        <w:t>FIELD INSTRUCTION: Foremen must verify that all advance warning signs (e.g., 'Road Work Ahead') are properly spaced according to the speed limit before work starts. Log attendance on MISH-F-10.1.</w:t>
      </w:r>
    </w:p>
    <w:p>
      <w:pPr>
        <w:pStyle w:val="Normal"/>
        <w:widowControl/>
        <w:rPr/>
      </w:pPr>
      <w:r>
        <w:rPr>
          <w:rFonts w:eastAsia="Mendl Sans Dusk Regular" w:cs="Mendl Sans Dusk Regular"/>
          <w:b w:val="false"/>
          <w:i w:val="false"/>
          <w:color w:val="000000"/>
          <w:sz w:val="22"/>
        </w:rPr>
        <w:br/>
        <w:t>Attendance Roster (Log on MISH-F-10.1):</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Print Name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Signature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Company/Trade</w:t>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bl>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 w:name="Mendl Sans Dusk Regular">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2</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Pages>
  <Words>329</Words>
  <Characters>1783</Characters>
  <CharactersWithSpaces>2089</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2026-08-05T19:39:25Z</dcterms:modified>
  <cp:revision>7</cp:revision>
  <dc:subject>MH Ecosystem Version 3.0 Draft</dc:subject>
  <dc:title>TBT-31.04 | Traffic Control And Flagger Safety</dc:title>
</cp:coreProperties>
</file>

<file path=docProps/custom.xml><?xml version="1.0" encoding="utf-8"?>
<Properties xmlns="http://schemas.openxmlformats.org/officeDocument/2006/custom-properties" xmlns:vt="http://schemas.openxmlformats.org/officeDocument/2006/docPropsVTypes"/>
</file>