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TBT-31.08 | Contaminated Soil And Groundwater</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TBT-31.08 | Contaminated Soil And Groundwater</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Heading1"/>
        <w:widowControl/>
        <w:jc w:val="center"/>
        <w:rPr/>
      </w:pPr>
      <w:r>
        <w:rPr>
          <w:rFonts w:eastAsia="Mendl Sans Dusk Bold" w:cs="Mendl Sans Dusk Bold" w:ascii="Mendl Sans Dusk Bold" w:hAnsi="Mendl Sans Dusk Bold"/>
          <w:b/>
          <w:i w:val="false"/>
          <w:color w:val="386851"/>
          <w:sz w:val="32"/>
        </w:rPr>
        <w:t>TBT-31.08: Contaminated Soil &amp; Groundwater</w:t>
      </w:r>
    </w:p>
    <w:p>
      <w:pPr>
        <w:pStyle w:val="Normal"/>
        <w:widowControl/>
        <w:jc w:val="center"/>
        <w:rPr/>
      </w:pPr>
      <w:r>
        <w:rPr>
          <w:rFonts w:eastAsia="Mendl Sans Dusk Regular" w:cs="Mendl Sans Dusk Regular"/>
          <w:b w:val="false"/>
          <w:i w:val="false"/>
          <w:color w:val="000000"/>
          <w:sz w:val="22"/>
        </w:rPr>
        <w:t>CSI Division: Div 31 | Track Assignment: Track 1 Civil &amp; Earthwork</w:t>
      </w:r>
    </w:p>
    <w:p>
      <w:pPr>
        <w:pStyle w:val="Heading2"/>
        <w:widowControl/>
        <w:rPr/>
      </w:pPr>
      <w:r>
        <w:rPr>
          <w:rFonts w:eastAsia="Mendl Sans Dusk Medium" w:cs="Mendl Sans Dusk Medium" w:ascii="Mendl Sans Dusk Medium" w:hAnsi="Mendl Sans Dusk Medium"/>
          <w:b/>
          <w:i w:val="false"/>
          <w:color w:val="628F79"/>
          <w:sz w:val="26"/>
        </w:rPr>
        <w:t>DIRECTIVE</w:t>
      </w:r>
    </w:p>
    <w:p>
      <w:pPr>
        <w:pStyle w:val="Normal"/>
        <w:widowControl/>
        <w:rPr/>
      </w:pPr>
      <w:r>
        <w:rPr>
          <w:rFonts w:eastAsia="Mendl Sans Dusk Regular" w:cs="Mendl Sans Dusk Regular"/>
          <w:b w:val="false"/>
          <w:i w:val="false"/>
          <w:color w:val="000000"/>
          <w:sz w:val="22"/>
        </w:rPr>
        <w:t>Excavation in brownfield or industrial sites may expose workers to contaminated soil or groundwater. Unidentified odors or soil discoloration must trigger an immediate work stoppage.</w:t>
      </w:r>
    </w:p>
    <w:p>
      <w:pPr>
        <w:pStyle w:val="Heading2"/>
        <w:widowControl/>
        <w:rPr/>
      </w:pPr>
      <w:r>
        <w:rPr>
          <w:rFonts w:eastAsia="Mendl Sans Dusk Medium" w:cs="Mendl Sans Dusk Medium" w:ascii="Mendl Sans Dusk Medium" w:hAnsi="Mendl Sans Dusk Medium"/>
          <w:b/>
          <w:i w:val="false"/>
          <w:color w:val="628F79"/>
          <w:sz w:val="26"/>
        </w:rPr>
        <w:t>GENERAL ORDER</w:t>
      </w:r>
    </w:p>
    <w:p>
      <w:pPr>
        <w:pStyle w:val="Normal"/>
        <w:widowControl/>
        <w:rPr/>
      </w:pPr>
      <w:r>
        <w:rPr>
          <w:rFonts w:eastAsia="Mendl Sans Dusk Regular" w:cs="Mendl Sans Dusk Regular"/>
          <w:b w:val="false"/>
          <w:i w:val="false"/>
          <w:color w:val="000000"/>
          <w:sz w:val="22"/>
        </w:rPr>
        <w:t>Do not handle suspect soil. If a sheen is visible on groundwater, stop dewatering operations and notify the Environmental Consultant.</w:t>
      </w:r>
    </w:p>
    <w:p>
      <w:pPr>
        <w:pStyle w:val="Heading2"/>
        <w:widowControl/>
        <w:rPr/>
      </w:pPr>
      <w:r>
        <w:rPr>
          <w:rFonts w:eastAsia="Mendl Sans Dusk Medium" w:cs="Mendl Sans Dusk Medium" w:ascii="Mendl Sans Dusk Medium" w:hAnsi="Mendl Sans Dusk Medium"/>
          <w:b/>
          <w:i w:val="false"/>
          <w:color w:val="628F79"/>
          <w:sz w:val="26"/>
        </w:rPr>
        <w:t>Key Hazards &amp; Mitigation (The 'What If')</w:t>
      </w:r>
    </w:p>
    <w:p>
      <w:pPr>
        <w:pStyle w:val="ListBullet"/>
        <w:widowControl/>
        <w:numPr>
          <w:ilvl w:val="0"/>
          <w:numId w:val="1"/>
        </w:numPr>
        <w:rPr/>
      </w:pPr>
      <w:r>
        <w:rPr>
          <w:rFonts w:eastAsia="Mendl Sans Dusk Regular" w:cs="Mendl Sans Dusk Regular"/>
          <w:b w:val="false"/>
          <w:i w:val="false"/>
          <w:color w:val="000000"/>
          <w:sz w:val="22"/>
        </w:rPr>
        <w:t>Excavator uncovers an unmarked buried drum — stop digging, clear the area, notify the Chief Superintendent.</w:t>
      </w:r>
    </w:p>
    <w:p>
      <w:pPr>
        <w:pStyle w:val="ListBullet"/>
        <w:widowControl/>
        <w:numPr>
          <w:ilvl w:val="0"/>
          <w:numId w:val="1"/>
        </w:numPr>
        <w:rPr/>
      </w:pPr>
      <w:r>
        <w:rPr>
          <w:rFonts w:eastAsia="Mendl Sans Dusk Regular" w:cs="Mendl Sans Dusk Regular"/>
          <w:b w:val="false"/>
          <w:i w:val="false"/>
          <w:color w:val="000000"/>
          <w:sz w:val="22"/>
        </w:rPr>
        <w:t>Strong chemical odor in the trench — evacuate the trench immediately, do not enter to investigate.</w:t>
      </w:r>
    </w:p>
    <w:p>
      <w:pPr>
        <w:pStyle w:val="ListBullet"/>
        <w:widowControl/>
        <w:numPr>
          <w:ilvl w:val="0"/>
          <w:numId w:val="1"/>
        </w:numPr>
        <w:rPr/>
      </w:pPr>
      <w:r>
        <w:rPr>
          <w:rFonts w:eastAsia="Mendl Sans Dusk Regular" w:cs="Mendl Sans Dusk Regular"/>
          <w:b w:val="false"/>
          <w:i w:val="false"/>
          <w:color w:val="000000"/>
          <w:sz w:val="22"/>
        </w:rPr>
        <w:t>Dewatering pump discharges oily water — shut off the pump, contain the discharge.</w:t>
      </w:r>
    </w:p>
    <w:p>
      <w:pPr>
        <w:pStyle w:val="Heading2"/>
        <w:widowControl/>
        <w:rPr/>
      </w:pPr>
      <w:r>
        <w:rPr>
          <w:rFonts w:eastAsia="Mendl Sans Dusk Medium" w:cs="Mendl Sans Dusk Medium" w:ascii="Mendl Sans Dusk Medium" w:hAnsi="Mendl Sans Dusk Medium"/>
          <w:b/>
          <w:i w:val="false"/>
          <w:color w:val="628F79"/>
          <w:sz w:val="26"/>
        </w:rPr>
        <w:t>FIELD INSTRUCTION</w:t>
      </w:r>
    </w:p>
    <w:p>
      <w:pPr>
        <w:pStyle w:val="Normal"/>
        <w:widowControl/>
        <w:rPr/>
      </w:pPr>
      <w:r>
        <w:rPr>
          <w:rFonts w:eastAsia="Mendl Sans Dusk Regular" w:cs="Mendl Sans Dusk Regular"/>
          <w:b/>
          <w:i w:val="false"/>
          <w:color w:val="000000"/>
          <w:sz w:val="22"/>
        </w:rPr>
        <w:t>Foreman: Halt all excavation and evacuate the area if any unknown odor, buried container, or soil discoloration is discovered.</w:t>
      </w:r>
    </w:p>
    <w:p>
      <w:pPr>
        <w:pStyle w:val="Heading2"/>
        <w:widowControl/>
        <w:rPr/>
      </w:pPr>
      <w:r>
        <w:rPr>
          <w:rFonts w:eastAsia="Mendl Sans Dusk Medium" w:cs="Mendl Sans Dusk Medium" w:ascii="Mendl Sans Dusk Medium" w:hAnsi="Mendl Sans Dusk Medium"/>
          <w:b/>
          <w:i w:val="false"/>
          <w:color w:val="628F79"/>
          <w:sz w:val="26"/>
        </w:rPr>
        <w:t>Attendance Roster (MISH-F-10.1)</w:t>
      </w:r>
    </w:p>
    <w:tbl>
      <w:tblPr>
        <w:tblStyle w:val="TableGrid"/>
        <w:tblW w:w="864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880"/>
        <w:gridCol w:w="2880"/>
        <w:gridCol w:w="2880"/>
      </w:tblGrid>
      <w:tr>
        <w:trPr/>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Print Name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Signature</w:t>
            </w:r>
          </w:p>
        </w:tc>
        <w:tc>
          <w:tcPr>
            <w:tcW w:w="2880"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i w:val="false"/>
                <w:color w:val="FFFFFF"/>
                <w:kern w:val="0"/>
                <w:sz w:val="17"/>
                <w:szCs w:val="22"/>
                <w:lang w:val="en-US" w:eastAsia="en-US" w:bidi="ar-SA"/>
              </w:rPr>
              <w:t>Date</w:t>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c>
          <w:tcPr>
            <w:tcW w:w="2880"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widowControl/>
        <w:spacing w:before="0" w:after="120"/>
        <w:rPr/>
      </w:pPr>
      <w:r>
        <w:rPr>
          <w:rFonts w:eastAsia="Mendl Sans Dusk Regular" w:cs="Mendl Sans Dusk Regular"/>
          <w:sz w:val="22"/>
        </w:rPr>
        <w:t>Toolbox Talk Documentation &amp; Sign-Off</w:t>
        <w:br/>
        <w:t xml:space="preserve">This Toolbox Talk (TBT) is a mandatory component of the MH Construction, INC Industrial Safety &amp; Health (MISH) Program. All site personnel, including subcontractors and temporary laborers, must attend this briefing before commencing related work activities. </w:t>
        <w:br/>
        <w:br/>
        <w:t>The Site Safety Commander or designated Foreman is responsible for delivering this content, ensuring comprehension, and documenting attendance. Failure to adhere to the safety protocols outlined herein may result in disciplinary action up to and including removal from the jobsite.</w:t>
        <w:br/>
        <w:br/>
        <w:t>By signing the daily attendance log (Form MISH-F-10.1), you acknowledge that you have received, understood, and agree to comply with the safety directives presented in this Toolbox Talk.</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2</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2</Pages>
  <Words>345</Words>
  <Characters>2027</Characters>
  <CharactersWithSpaces>2349</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2026-08-05T19:39:27Z</dcterms:modified>
  <cp:revision>7</cp:revision>
  <dc:subject>MH Ecosystem Version 3.0 Draft</dc:subject>
  <dc:title>TBT-31.08 | Contaminated Soil And Groundwater</dc:title>
</cp:coreProperties>
</file>

<file path=docProps/custom.xml><?xml version="1.0" encoding="utf-8"?>
<Properties xmlns="http://schemas.openxmlformats.org/officeDocument/2006/custom-properties" xmlns:vt="http://schemas.openxmlformats.org/officeDocument/2006/docPropsVTypes"/>
</file>