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386851"/>
          <w:sz w:val="60"/>
        </w:rPr>
        <w:t>JEREMY GALE THAMERT</w:t>
      </w:r>
    </w:p>
    <w:p>
      <w:pPr>
        <w:spacing w:after="80"/>
        <w:jc w:val="center"/>
      </w:pPr>
      <w:r>
        <w:rPr>
          <w:rFonts w:ascii="Aptos Display" w:hAnsi="Aptos Display"/>
          <w:b/>
          <w:color w:val="25332D"/>
          <w:sz w:val="36"/>
        </w:rPr>
        <w:t>Website Biography and Reference Package</w:t>
      </w:r>
    </w:p>
    <w:p>
      <w:pPr>
        <w:spacing w:after="560"/>
        <w:jc w:val="center"/>
      </w:pPr>
      <w:r>
        <w:rPr>
          <w:i/>
          <w:color w:val="5E6963"/>
          <w:sz w:val="21"/>
        </w:rPr>
        <w:t>Prepared for structured website deployment | July 15, 2026</w:t>
      </w:r>
    </w:p>
    <w:tbl>
      <w:tblPr>
        <w:tblStyle w:val="TableGrid"/>
        <w:tblW w:type="auto" w:w="0"/>
        <w:jc w:val="center"/>
        <w:tblLook w:firstColumn="1" w:firstRow="1" w:lastColumn="0" w:lastRow="0" w:noHBand="0" w:noVBand="1" w:val="04A0"/>
      </w:tblPr>
      <w:tblGrid>
        <w:gridCol w:w="5083"/>
        <w:gridCol w:w="5083"/>
      </w:tblGrid>
      <w:tr>
        <w:trPr>
          <w:cantSplit/>
        </w:trPr>
        <w:tc>
          <w:tcPr>
            <w:tcW w:type="dxa" w:w="2448"/>
            <w:vAlign w:val="center"/>
            <w:tcMar>
              <w:top w:w="100" w:type="dxa"/>
              <w:start w:w="120" w:type="dxa"/>
              <w:bottom w:w="100" w:type="dxa"/>
              <w:end w:w="120" w:type="dxa"/>
            </w:tcMar>
            <w:shd w:fill="F5EFE8"/>
          </w:tcPr>
          <w:p>
            <w:pPr>
              <w:spacing w:after="0" w:line="240" w:lineRule="auto"/>
            </w:pPr>
            <w:r/>
            <w:r>
              <w:rPr>
                <w:rFonts w:ascii="Aptos" w:hAnsi="Aptos"/>
                <w:b/>
                <w:color w:val="25332D"/>
                <w:sz w:val="19"/>
              </w:rPr>
              <w:t>Primary Positioning</w:t>
            </w:r>
          </w:p>
        </w:tc>
        <w:tc>
          <w:tcPr>
            <w:tcW w:type="dxa" w:w="7632"/>
            <w:vAlign w:val="center"/>
            <w:tcMar>
              <w:top w:w="100" w:type="dxa"/>
              <w:start w:w="120" w:type="dxa"/>
              <w:bottom w:w="100" w:type="dxa"/>
              <w:end w:w="120" w:type="dxa"/>
            </w:tcMar>
            <w:shd w:fill="FFFFFF"/>
          </w:tcPr>
          <w:p>
            <w:pPr>
              <w:spacing w:after="0" w:line="240" w:lineRule="auto"/>
            </w:pPr>
            <w:r/>
            <w:r>
              <w:rPr>
                <w:rFonts w:ascii="Aptos" w:hAnsi="Aptos"/>
                <w:b w:val="0"/>
                <w:color w:val="202523"/>
                <w:sz w:val="19"/>
              </w:rPr>
              <w:t>Army veteran, construction owner, technical inspector, and community participant</w:t>
            </w:r>
          </w:p>
        </w:tc>
      </w:tr>
      <w:tr>
        <w:trPr>
          <w:cantSplit/>
        </w:trPr>
        <w:tc>
          <w:tcPr>
            <w:tcW w:type="dxa" w:w="2448"/>
            <w:vAlign w:val="center"/>
            <w:tcMar>
              <w:top w:w="100" w:type="dxa"/>
              <w:start w:w="120" w:type="dxa"/>
              <w:bottom w:w="100" w:type="dxa"/>
              <w:end w:w="120" w:type="dxa"/>
            </w:tcMar>
            <w:shd w:fill="F5EFE8"/>
          </w:tcPr>
          <w:p>
            <w:pPr>
              <w:spacing w:after="0" w:line="240" w:lineRule="auto"/>
            </w:pPr>
            <w:r/>
            <w:r>
              <w:rPr>
                <w:rFonts w:ascii="Aptos" w:hAnsi="Aptos"/>
                <w:b/>
                <w:color w:val="25332D"/>
                <w:sz w:val="19"/>
              </w:rPr>
              <w:t>Current Business</w:t>
            </w:r>
          </w:p>
        </w:tc>
        <w:tc>
          <w:tcPr>
            <w:tcW w:type="dxa" w:w="7632"/>
            <w:vAlign w:val="center"/>
            <w:tcMar>
              <w:top w:w="100" w:type="dxa"/>
              <w:start w:w="120" w:type="dxa"/>
              <w:bottom w:w="100" w:type="dxa"/>
              <w:end w:w="120" w:type="dxa"/>
            </w:tcMar>
            <w:shd w:fill="FFFFFF"/>
          </w:tcPr>
          <w:p>
            <w:pPr>
              <w:spacing w:after="0" w:line="240" w:lineRule="auto"/>
            </w:pPr>
            <w:r/>
            <w:r>
              <w:rPr>
                <w:rFonts w:ascii="Aptos" w:hAnsi="Aptos"/>
                <w:b w:val="0"/>
                <w:color w:val="202523"/>
                <w:sz w:val="19"/>
              </w:rPr>
              <w:t>Owner and President, MH Construction, Inc.</w:t>
            </w:r>
          </w:p>
        </w:tc>
      </w:tr>
      <w:tr>
        <w:trPr>
          <w:cantSplit/>
        </w:trPr>
        <w:tc>
          <w:tcPr>
            <w:tcW w:type="dxa" w:w="2448"/>
            <w:vAlign w:val="center"/>
            <w:tcMar>
              <w:top w:w="100" w:type="dxa"/>
              <w:start w:w="120" w:type="dxa"/>
              <w:bottom w:w="100" w:type="dxa"/>
              <w:end w:w="120" w:type="dxa"/>
            </w:tcMar>
            <w:shd w:fill="F5EFE8"/>
          </w:tcPr>
          <w:p>
            <w:pPr>
              <w:spacing w:after="0" w:line="240" w:lineRule="auto"/>
            </w:pPr>
            <w:r/>
            <w:r>
              <w:rPr>
                <w:rFonts w:ascii="Aptos" w:hAnsi="Aptos"/>
                <w:b/>
                <w:color w:val="25332D"/>
                <w:sz w:val="19"/>
              </w:rPr>
              <w:t>Source Standard</w:t>
            </w:r>
          </w:p>
        </w:tc>
        <w:tc>
          <w:tcPr>
            <w:tcW w:type="dxa" w:w="7632"/>
            <w:vAlign w:val="center"/>
            <w:tcMar>
              <w:top w:w="100" w:type="dxa"/>
              <w:start w:w="120" w:type="dxa"/>
              <w:bottom w:w="100" w:type="dxa"/>
              <w:end w:w="120" w:type="dxa"/>
            </w:tcMar>
            <w:shd w:fill="FFFFFF"/>
          </w:tcPr>
          <w:p>
            <w:pPr>
              <w:spacing w:after="0" w:line="240" w:lineRule="auto"/>
            </w:pPr>
            <w:r/>
            <w:r>
              <w:rPr>
                <w:rFonts w:ascii="Aptos" w:hAnsi="Aptos"/>
                <w:b w:val="0"/>
                <w:color w:val="202523"/>
                <w:sz w:val="19"/>
              </w:rPr>
              <w:t>Government records, trade directories, independent news, and corroborated public posts</w:t>
            </w:r>
          </w:p>
        </w:tc>
      </w:tr>
      <w:tr>
        <w:trPr>
          <w:cantSplit/>
        </w:trPr>
        <w:tc>
          <w:tcPr>
            <w:tcW w:type="dxa" w:w="2448"/>
            <w:vAlign w:val="center"/>
            <w:tcMar>
              <w:top w:w="100" w:type="dxa"/>
              <w:start w:w="120" w:type="dxa"/>
              <w:bottom w:w="100" w:type="dxa"/>
              <w:end w:w="120" w:type="dxa"/>
            </w:tcMar>
            <w:shd w:fill="F5EFE8"/>
          </w:tcPr>
          <w:p>
            <w:pPr>
              <w:spacing w:after="0" w:line="240" w:lineRule="auto"/>
            </w:pPr>
            <w:r/>
            <w:r>
              <w:rPr>
                <w:rFonts w:ascii="Aptos" w:hAnsi="Aptos"/>
                <w:b/>
                <w:color w:val="25332D"/>
                <w:sz w:val="19"/>
              </w:rPr>
              <w:t>Editorial Status</w:t>
            </w:r>
          </w:p>
        </w:tc>
        <w:tc>
          <w:tcPr>
            <w:tcW w:type="dxa" w:w="7632"/>
            <w:vAlign w:val="center"/>
            <w:tcMar>
              <w:top w:w="100" w:type="dxa"/>
              <w:start w:w="120" w:type="dxa"/>
              <w:bottom w:w="100" w:type="dxa"/>
              <w:end w:w="120" w:type="dxa"/>
            </w:tcMar>
            <w:shd w:fill="FFFFFF"/>
          </w:tcPr>
          <w:p>
            <w:pPr>
              <w:spacing w:after="0" w:line="240" w:lineRule="auto"/>
            </w:pPr>
            <w:r/>
            <w:r>
              <w:rPr>
                <w:rFonts w:ascii="Aptos" w:hAnsi="Aptos"/>
                <w:b w:val="0"/>
                <w:color w:val="202523"/>
                <w:sz w:val="19"/>
              </w:rPr>
              <w:t>Website-ready narrative plus claim-level implementation controls</w:t>
            </w:r>
          </w:p>
        </w:tc>
      </w:tr>
    </w:tbl>
    <w:p>
      <w:pPr>
        <w:spacing w:before="480"/>
        <w:jc w:val="center"/>
      </w:pPr>
      <w:r>
        <w:rPr>
          <w:color w:val="5E6963"/>
          <w:sz w:val="18"/>
        </w:rPr>
        <w:t>Prepared by Manus AI</w:t>
      </w:r>
    </w:p>
    <w:p>
      <w:r>
        <w:br w:type="page"/>
      </w:r>
    </w:p>
    <w:p>
      <w:pPr>
        <w:pStyle w:val="Heading1"/>
        <w:keepNext/>
      </w:pPr>
      <w:r>
        <w:t>Deployment Instructions</w:t>
      </w:r>
    </w:p>
    <w:p>
      <w:pPr>
        <w:pStyle w:val="BodyText"/>
        <w:keepLines w:val="0"/>
        <w:spacing w:after="140"/>
      </w:pPr>
      <w:r>
        <w:t>Use the primary biography for Jeremy’s leadership page or executive profile. Use the condensed and short versions for team cards, directory profiles, schema markup, and social previews. Each factual statement carries a numbered source link or appears in a source-controlled table. Keep the wording limits attached to credential and company-level claims.</w:t>
      </w:r>
    </w:p>
    <w:tbl>
      <w:tblPr>
        <w:tblW w:type="auto" w:w="0"/>
        <w:jc w:val="center"/>
        <w:tblLook w:firstColumn="1" w:firstRow="1" w:lastColumn="0" w:lastRow="0" w:noHBand="0" w:noVBand="1" w:val="04A0"/>
      </w:tblPr>
      <w:tblGrid>
        <w:gridCol w:w="10166"/>
      </w:tblGrid>
      <w:tr>
        <w:trPr>
          <w:cantSplit/>
        </w:trPr>
        <w:tc>
          <w:tcPr>
            <w:tcW w:type="dxa" w:w="10166"/>
            <w:shd w:fill="EAF1ED"/>
            <w:tcMar>
              <w:top w:w="140" w:type="dxa"/>
              <w:start w:w="180" w:type="dxa"/>
              <w:bottom w:w="140" w:type="dxa"/>
              <w:end w:w="180" w:type="dxa"/>
            </w:tcMar>
          </w:tcPr>
          <w:p>
            <w:pPr>
              <w:spacing w:after="60"/>
            </w:pPr>
            <w:r>
              <w:rPr>
                <w:b/>
                <w:color w:val="25332D"/>
                <w:sz w:val="21"/>
              </w:rPr>
              <w:t>Editorial Standard</w:t>
            </w:r>
          </w:p>
          <w:p>
            <w:pPr>
              <w:spacing w:after="0" w:line="252" w:lineRule="auto"/>
            </w:pPr>
            <w:r>
              <w:rPr>
                <w:color w:val="202523"/>
                <w:sz w:val="19"/>
              </w:rPr>
              <w:t>Publish government-record facts directly. Attribute service details reported by newspapers. Treat company values as positioning language. Confirm personal, educational, and certificate details with Jeremy before publication.</w:t>
            </w:r>
          </w:p>
        </w:tc>
      </w:tr>
    </w:tbl>
    <w:p>
      <w:pPr>
        <w:spacing w:after="0"/>
      </w:pPr>
    </w:p>
    <w:p>
      <w:pPr>
        <w:pStyle w:val="Heading2"/>
        <w:keepNext/>
      </w:pPr>
      <w:r>
        <w:t>Source Hierarchy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936"/>
            <w:vAlign w:val="center"/>
            <w:tcMar>
              <w:top w:w="100" w:type="dxa"/>
              <w:start w:w="120" w:type="dxa"/>
              <w:bottom w:w="100" w:type="dxa"/>
              <w:end w:w="120" w:type="dxa"/>
            </w:tcMar>
            <w:shd w:fill="386851"/>
          </w:tcPr>
          <w:p>
            <w:pPr>
              <w:spacing w:after="0" w:line="240" w:lineRule="auto"/>
            </w:pPr>
            <w:r/>
            <w:r>
              <w:rPr>
                <w:rFonts w:ascii="Aptos" w:hAnsi="Aptos"/>
                <w:b/>
                <w:color w:val="FFFFFF"/>
                <w:sz w:val="18"/>
              </w:rPr>
              <w:t>Tier</w:t>
            </w:r>
          </w:p>
        </w:tc>
        <w:tc>
          <w:tcPr>
            <w:tcW w:type="dxa" w:w="2088"/>
            <w:vAlign w:val="center"/>
            <w:tcMar>
              <w:top w:w="100" w:type="dxa"/>
              <w:start w:w="120" w:type="dxa"/>
              <w:bottom w:w="100" w:type="dxa"/>
              <w:end w:w="120" w:type="dxa"/>
            </w:tcMar>
            <w:shd w:fill="386851"/>
          </w:tcPr>
          <w:p>
            <w:pPr>
              <w:spacing w:after="0" w:line="240" w:lineRule="auto"/>
            </w:pPr>
            <w:r/>
            <w:r>
              <w:rPr>
                <w:rFonts w:ascii="Aptos" w:hAnsi="Aptos"/>
                <w:b/>
                <w:color w:val="FFFFFF"/>
                <w:sz w:val="18"/>
              </w:rPr>
              <w:t>Evidence Type</w:t>
            </w:r>
          </w:p>
        </w:tc>
        <w:tc>
          <w:tcPr>
            <w:tcW w:type="dxa" w:w="3816"/>
            <w:vAlign w:val="center"/>
            <w:tcMar>
              <w:top w:w="100" w:type="dxa"/>
              <w:start w:w="120" w:type="dxa"/>
              <w:bottom w:w="100" w:type="dxa"/>
              <w:end w:w="120" w:type="dxa"/>
            </w:tcMar>
            <w:shd w:fill="386851"/>
          </w:tcPr>
          <w:p>
            <w:pPr>
              <w:spacing w:after="0" w:line="240" w:lineRule="auto"/>
            </w:pPr>
            <w:r/>
            <w:r>
              <w:rPr>
                <w:rFonts w:ascii="Aptos" w:hAnsi="Aptos"/>
                <w:b/>
                <w:color w:val="FFFFFF"/>
                <w:sz w:val="18"/>
              </w:rPr>
              <w:t>Primary Use</w:t>
            </w:r>
          </w:p>
        </w:tc>
        <w:tc>
          <w:tcPr>
            <w:tcW w:type="dxa" w:w="3744"/>
            <w:vAlign w:val="center"/>
            <w:tcMar>
              <w:top w:w="100" w:type="dxa"/>
              <w:start w:w="120" w:type="dxa"/>
              <w:bottom w:w="100" w:type="dxa"/>
              <w:end w:w="120" w:type="dxa"/>
            </w:tcMar>
            <w:shd w:fill="386851"/>
          </w:tcPr>
          <w:p>
            <w:pPr>
              <w:spacing w:after="0" w:line="240" w:lineRule="auto"/>
            </w:pPr>
            <w:r/>
            <w:r>
              <w:rPr>
                <w:rFonts w:ascii="Aptos" w:hAnsi="Aptos"/>
                <w:b/>
                <w:color w:val="FFFFFF"/>
                <w:sz w:val="18"/>
              </w:rPr>
              <w:t>Publication Rule</w:t>
            </w:r>
          </w:p>
        </w:tc>
      </w:tr>
      <w:tr>
        <w:trPr>
          <w:cantSplit/>
        </w:trPr>
        <w:tc>
          <w:tcPr>
            <w:tcW w:type="dxa" w:w="936"/>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Tier 1</w:t>
            </w:r>
          </w:p>
        </w:tc>
        <w:tc>
          <w:tcPr>
            <w:tcW w:type="dxa" w:w="2088"/>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Government record</w:t>
            </w:r>
          </w:p>
        </w:tc>
        <w:tc>
          <w:tcPr>
            <w:tcW w:type="dxa" w:w="3816"/>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Ownership, vendor status, inspector and plans-examiner records</w:t>
            </w:r>
          </w:p>
        </w:tc>
        <w:tc>
          <w:tcPr>
            <w:tcW w:type="dxa" w:w="3744"/>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Publish with date-sensitive wording</w:t>
            </w:r>
          </w:p>
        </w:tc>
      </w:tr>
      <w:tr>
        <w:trPr>
          <w:cantSplit/>
        </w:trPr>
        <w:tc>
          <w:tcPr>
            <w:tcW w:type="dxa" w:w="936"/>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Tier 2</w:t>
            </w:r>
          </w:p>
        </w:tc>
        <w:tc>
          <w:tcPr>
            <w:tcW w:type="dxa" w:w="2088"/>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Independent news</w:t>
            </w:r>
          </w:p>
        </w:tc>
        <w:tc>
          <w:tcPr>
            <w:tcW w:type="dxa" w:w="3816"/>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Army service and renewable-energy business history</w:t>
            </w:r>
          </w:p>
        </w:tc>
        <w:tc>
          <w:tcPr>
            <w:tcW w:type="dxa" w:w="3744"/>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Attribute specific details to the reporting source</w:t>
            </w:r>
          </w:p>
        </w:tc>
      </w:tr>
      <w:tr>
        <w:trPr>
          <w:cantSplit/>
        </w:trPr>
        <w:tc>
          <w:tcPr>
            <w:tcW w:type="dxa" w:w="936"/>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Tier 3</w:t>
            </w:r>
          </w:p>
        </w:tc>
        <w:tc>
          <w:tcPr>
            <w:tcW w:type="dxa" w:w="2088"/>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Trade or chamber directory</w:t>
            </w:r>
          </w:p>
        </w:tc>
        <w:tc>
          <w:tcPr>
            <w:tcW w:type="dxa" w:w="3816"/>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Company membership, contact role, and service categories</w:t>
            </w:r>
          </w:p>
        </w:tc>
        <w:tc>
          <w:tcPr>
            <w:tcW w:type="dxa" w:w="3744"/>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Keep company facts separate from personal achievements</w:t>
            </w:r>
          </w:p>
        </w:tc>
      </w:tr>
      <w:tr>
        <w:trPr>
          <w:cantSplit/>
        </w:trPr>
        <w:tc>
          <w:tcPr>
            <w:tcW w:type="dxa" w:w="936"/>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Tier 4</w:t>
            </w:r>
          </w:p>
        </w:tc>
        <w:tc>
          <w:tcPr>
            <w:tcW w:type="dxa" w:w="2088"/>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Corroborated public post</w:t>
            </w:r>
          </w:p>
        </w:tc>
        <w:tc>
          <w:tcPr>
            <w:tcW w:type="dxa" w:w="3816"/>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Dated community participation</w:t>
            </w:r>
          </w:p>
        </w:tc>
        <w:tc>
          <w:tcPr>
            <w:tcW w:type="dxa" w:w="3744"/>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Use only when event context is independently confirmed</w:t>
            </w:r>
          </w:p>
        </w:tc>
      </w:tr>
    </w:tbl>
    <w:p>
      <w:pPr>
        <w:spacing w:after="0"/>
      </w:pPr>
    </w:p>
    <w:p>
      <w:r>
        <w:br w:type="page"/>
      </w:r>
    </w:p>
    <w:p>
      <w:pPr>
        <w:pStyle w:val="Heading1"/>
        <w:keepNext/>
      </w:pPr>
      <w:r>
        <w:t>Primary Website Biography</w:t>
      </w:r>
    </w:p>
    <w:p>
      <w:pPr>
        <w:pStyle w:val="BodyText"/>
        <w:keepLines w:val="0"/>
        <w:spacing w:after="140"/>
      </w:pPr>
      <w:r>
        <w:t xml:space="preserve">Jeremy Gale Thamert is the Owner and President of MH Construction, Inc., a commercial and industrial general contractor serving the Inland Northwest. Washington Department of Labor &amp; Industries records identify him as the company’s owner or tradesperson and president. </w:t>
      </w:r>
      <w:hyperlink r:id="rId9">
        <w:r>
          <w:rPr>
            <w:color w:val="386851"/>
            <w:b/>
            <w:rFonts w:ascii="Aptos" w:hAnsi="Aptos"/>
            <w:sz w:val="20"/>
          </w:rPr>
          <w:t>[1]</w:t>
        </w:r>
      </w:hyperlink>
      <w:r>
        <w:t xml:space="preserve"> The Tri-City Regional Chamber of Commerce lists him as MH Construction’s main contact, while the Inland Northwest Associated General Contractors identifies the company’s work across healthcare, schools, churches, commercial development, wineries, demolition, construction management, design-build, special construction, and exterior improvements. </w:t>
      </w:r>
      <w:hyperlink r:id="rId10">
        <w:r>
          <w:rPr>
            <w:color w:val="386851"/>
            <w:b/>
            <w:rFonts w:ascii="Aptos" w:hAnsi="Aptos"/>
            <w:sz w:val="20"/>
          </w:rPr>
          <w:t>[3]</w:t>
        </w:r>
      </w:hyperlink>
      <w:r>
        <w:t xml:space="preserve"> </w:t>
      </w:r>
      <w:hyperlink r:id="rId11">
        <w:r>
          <w:rPr>
            <w:color w:val="386851"/>
            <w:b/>
            <w:rFonts w:ascii="Aptos" w:hAnsi="Aptos"/>
            <w:sz w:val="20"/>
          </w:rPr>
          <w:t>[4]</w:t>
        </w:r>
      </w:hyperlink>
    </w:p>
    <w:p>
      <w:pPr>
        <w:pStyle w:val="BodyText"/>
        <w:keepLines w:val="0"/>
        <w:spacing w:after="140"/>
      </w:pPr>
      <w:r>
        <w:t xml:space="preserve">His leadership framework was shaped by military aviation. A 2010 Baker City Herald profile reported that Jeremy served 14 years as a U.S. Army flight engineer and described him as part of a multigenerational military family. </w:t>
      </w:r>
      <w:hyperlink r:id="rId12">
        <w:r>
          <w:rPr>
            <w:color w:val="386851"/>
            <w:b/>
            <w:rFonts w:ascii="Aptos" w:hAnsi="Aptos"/>
            <w:sz w:val="20"/>
          </w:rPr>
          <w:t>[5]</w:t>
        </w:r>
      </w:hyperlink>
      <w:r>
        <w:t xml:space="preserve"> Washington’s official vendor registry records MH Construction as a veteran-owned business. </w:t>
      </w:r>
      <w:hyperlink r:id="rId13">
        <w:r>
          <w:rPr>
            <w:color w:val="386851"/>
            <w:b/>
            <w:rFonts w:ascii="Aptos" w:hAnsi="Aptos"/>
            <w:sz w:val="20"/>
          </w:rPr>
          <w:t>[6]</w:t>
        </w:r>
      </w:hyperlink>
      <w:r>
        <w:t xml:space="preserve"> </w:t>
      </w:r>
      <w:hyperlink r:id="rId14">
        <w:r>
          <w:rPr>
            <w:color w:val="386851"/>
            <w:b/>
            <w:rFonts w:ascii="Aptos" w:hAnsi="Aptos"/>
            <w:sz w:val="20"/>
          </w:rPr>
          <w:t>[7]</w:t>
        </w:r>
      </w:hyperlink>
      <w:r>
        <w:t xml:space="preserve"> These records support a professional identity centered on disciplined preparation, mechanical precision, clear accountability, and mission-focused execution.</w:t>
      </w:r>
    </w:p>
    <w:p>
      <w:pPr>
        <w:pStyle w:val="BodyText"/>
        <w:keepLines w:val="0"/>
        <w:spacing w:after="140"/>
      </w:pPr>
      <w:r>
        <w:t xml:space="preserve">Jeremy’s experience also includes renewable-energy entrepreneurship and public-agency coordination. In 2008, the La Grande Observer identified him as the founder of Oregon Power Solutions and the only private-sector representative at a Baker County meeting involving the governor’s Economic Revitalization Team, county officials, state agencies, energy representatives, and land-use specialists. The report documented his focus on timely agency responses needed for wind-energy siting and project planning. </w:t>
      </w:r>
      <w:hyperlink r:id="rId15">
        <w:r>
          <w:rPr>
            <w:color w:val="386851"/>
            <w:b/>
            <w:rFonts w:ascii="Aptos" w:hAnsi="Aptos"/>
            <w:sz w:val="20"/>
          </w:rPr>
          <w:t>[8]</w:t>
        </w:r>
      </w:hyperlink>
    </w:p>
    <w:p>
      <w:pPr>
        <w:pStyle w:val="BodyText"/>
        <w:keepLines w:val="0"/>
        <w:spacing w:after="140"/>
      </w:pPr>
      <w:r>
        <w:t xml:space="preserve">His technical background extends into building-code inspection and plans examination. An Oregon Building Codes Division record dated February 23, 2026, lists Jeremy under Oregon Inspector Certification OIC3191, Structural Inspector A-Level, Mechanical Inspector A-Level, Structural Plans Examiner A-Level, and Fire and Life Safety Plans Examiner identifiers. </w:t>
      </w:r>
      <w:hyperlink r:id="rId16">
        <w:r>
          <w:rPr>
            <w:color w:val="386851"/>
            <w:b/>
            <w:rFonts w:ascii="Aptos" w:hAnsi="Aptos"/>
            <w:sz w:val="20"/>
          </w:rPr>
          <w:t>[9]</w:t>
        </w:r>
      </w:hyperlink>
      <w:r>
        <w:t xml:space="preserve"> </w:t>
      </w:r>
      <w:hyperlink r:id="rId17">
        <w:r>
          <w:rPr>
            <w:color w:val="386851"/>
            <w:b/>
            <w:rFonts w:ascii="Aptos" w:hAnsi="Aptos"/>
            <w:sz w:val="20"/>
          </w:rPr>
          <w:t>[10]</w:t>
        </w:r>
      </w:hyperlink>
      <w:r>
        <w:t xml:space="preserve"> </w:t>
      </w:r>
      <w:hyperlink r:id="rId18">
        <w:r>
          <w:rPr>
            <w:color w:val="386851"/>
            <w:b/>
            <w:rFonts w:ascii="Aptos" w:hAnsi="Aptos"/>
            <w:sz w:val="20"/>
          </w:rPr>
          <w:t>[11]</w:t>
        </w:r>
      </w:hyperlink>
      <w:r>
        <w:t xml:space="preserve"> The website should describe these as credentials listed in Oregon records or credentials he has held unless a current post-deadline status lookup is obtained.</w:t>
      </w:r>
    </w:p>
    <w:p>
      <w:pPr>
        <w:pStyle w:val="BodyText"/>
        <w:keepLines w:val="0"/>
        <w:spacing w:after="140"/>
      </w:pPr>
      <w:r>
        <w:t xml:space="preserve">Jeremy also participates in community events connected to regional business and veterans’ causes. In June 2026, he represented MH Construction at Richland’s Cool Desert Nights Smoke &amp; Shine Showdown as a community BBQ judge and announced the competition winners. </w:t>
      </w:r>
      <w:hyperlink r:id="rId19">
        <w:r>
          <w:rPr>
            <w:color w:val="386851"/>
            <w:b/>
            <w:rFonts w:ascii="Aptos" w:hAnsi="Aptos"/>
            <w:sz w:val="20"/>
          </w:rPr>
          <w:t>[12]</w:t>
        </w:r>
      </w:hyperlink>
      <w:r>
        <w:t xml:space="preserve"> </w:t>
      </w:r>
      <w:hyperlink r:id="rId20">
        <w:r>
          <w:rPr>
            <w:color w:val="386851"/>
            <w:b/>
            <w:rFonts w:ascii="Aptos" w:hAnsi="Aptos"/>
            <w:sz w:val="20"/>
          </w:rPr>
          <w:t>[13]</w:t>
        </w:r>
      </w:hyperlink>
      <w:r>
        <w:t xml:space="preserve"> The sanctioned event directed public-sampling proceeds to the Tri-Cities Veterans Cemetery Project. </w:t>
      </w:r>
      <w:hyperlink r:id="rId20">
        <w:r>
          <w:rPr>
            <w:color w:val="386851"/>
            <w:b/>
            <w:rFonts w:ascii="Aptos" w:hAnsi="Aptos"/>
            <w:sz w:val="20"/>
          </w:rPr>
          <w:t>[13]</w:t>
        </w:r>
      </w:hyperlink>
      <w:r>
        <w:t xml:space="preserve"> </w:t>
      </w:r>
      <w:hyperlink r:id="rId21">
        <w:r>
          <w:rPr>
            <w:color w:val="386851"/>
            <w:b/>
            <w:rFonts w:ascii="Aptos" w:hAnsi="Aptos"/>
            <w:sz w:val="20"/>
          </w:rPr>
          <w:t>[14]</w:t>
        </w:r>
      </w:hyperlink>
      <w:r>
        <w:t xml:space="preserve"> His website biography can present this role as a concrete example of local involvement without converting company sponsorship into a claim of personal event ownership or philanthropy.</w:t>
      </w:r>
    </w:p>
    <w:p>
      <w:pPr>
        <w:pStyle w:val="BodyText"/>
        <w:keepLines w:val="0"/>
        <w:spacing w:after="0"/>
      </w:pPr>
      <w:r>
        <w:t>Across military service, renewable energy, code compliance, and construction ownership, Jeremy’s public record reflects a practical operator focused on disciplined execution. His current leadership at MH Construction can be positioned around the company’s stated values of Honesty, Integrity, Professionalism, and Thoroughness. The message is direct: build for the client, protect the standard, and finish the mission.</w:t>
      </w:r>
    </w:p>
    <w:p>
      <w:pPr>
        <w:pStyle w:val="Heading1"/>
        <w:keepNext/>
      </w:pPr>
      <w:r>
        <w:t>Condensed Biography</w:t>
      </w:r>
    </w:p>
    <w:p>
      <w:pPr>
        <w:pStyle w:val="BodyText"/>
        <w:keepLines w:val="0"/>
        <w:spacing w:after="140"/>
      </w:pPr>
      <w:r>
        <w:t xml:space="preserve">Jeremy Gale Thamert is the Owner and President of MH Construction, Inc., a veteran-owned commercial and industrial general contractor serving the Inland Northwest. </w:t>
      </w:r>
      <w:hyperlink r:id="rId9">
        <w:r>
          <w:rPr>
            <w:color w:val="386851"/>
            <w:b/>
            <w:rFonts w:ascii="Aptos" w:hAnsi="Aptos"/>
            <w:sz w:val="20"/>
          </w:rPr>
          <w:t>[1]</w:t>
        </w:r>
      </w:hyperlink>
      <w:r>
        <w:t xml:space="preserve"> </w:t>
      </w:r>
      <w:hyperlink r:id="rId13">
        <w:r>
          <w:rPr>
            <w:color w:val="386851"/>
            <w:b/>
            <w:rFonts w:ascii="Aptos" w:hAnsi="Aptos"/>
            <w:sz w:val="20"/>
          </w:rPr>
          <w:t>[6]</w:t>
        </w:r>
      </w:hyperlink>
      <w:r>
        <w:t xml:space="preserve"> </w:t>
      </w:r>
      <w:hyperlink r:id="rId14">
        <w:r>
          <w:rPr>
            <w:color w:val="386851"/>
            <w:b/>
            <w:rFonts w:ascii="Aptos" w:hAnsi="Aptos"/>
            <w:sz w:val="20"/>
          </w:rPr>
          <w:t>[7]</w:t>
        </w:r>
      </w:hyperlink>
      <w:r>
        <w:t xml:space="preserve"> Independent reporting states that he served 14 years as a U.S. Army flight engineer and later founded Oregon Power Solutions, where he participated in state and local coordination on wind-energy development. </w:t>
      </w:r>
      <w:hyperlink r:id="rId12">
        <w:r>
          <w:rPr>
            <w:color w:val="386851"/>
            <w:b/>
            <w:rFonts w:ascii="Aptos" w:hAnsi="Aptos"/>
            <w:sz w:val="20"/>
          </w:rPr>
          <w:t>[5]</w:t>
        </w:r>
      </w:hyperlink>
      <w:r>
        <w:t xml:space="preserve"> </w:t>
      </w:r>
      <w:hyperlink r:id="rId15">
        <w:r>
          <w:rPr>
            <w:color w:val="386851"/>
            <w:b/>
            <w:rFonts w:ascii="Aptos" w:hAnsi="Aptos"/>
            <w:sz w:val="20"/>
          </w:rPr>
          <w:t>[8]</w:t>
        </w:r>
      </w:hyperlink>
      <w:r>
        <w:t xml:space="preserve"> Oregon records have listed him under structural, mechanical, plans-examiner, and fire-and-life-safety credential identifiers. </w:t>
      </w:r>
      <w:hyperlink r:id="rId16">
        <w:r>
          <w:rPr>
            <w:color w:val="386851"/>
            <w:b/>
            <w:rFonts w:ascii="Aptos" w:hAnsi="Aptos"/>
            <w:sz w:val="20"/>
          </w:rPr>
          <w:t>[9]</w:t>
        </w:r>
      </w:hyperlink>
      <w:r>
        <w:t xml:space="preserve"> </w:t>
      </w:r>
      <w:hyperlink r:id="rId17">
        <w:r>
          <w:rPr>
            <w:color w:val="386851"/>
            <w:b/>
            <w:rFonts w:ascii="Aptos" w:hAnsi="Aptos"/>
            <w:sz w:val="20"/>
          </w:rPr>
          <w:t>[10]</w:t>
        </w:r>
      </w:hyperlink>
      <w:r>
        <w:t xml:space="preserve"> He also represented MH Construction as a community judge at the 2026 Cool Desert Nights BBQ competition supporting the Tri-Cities Veterans Cemetery Project. </w:t>
      </w:r>
      <w:hyperlink r:id="rId19">
        <w:r>
          <w:rPr>
            <w:color w:val="386851"/>
            <w:b/>
            <w:rFonts w:ascii="Aptos" w:hAnsi="Aptos"/>
            <w:sz w:val="20"/>
          </w:rPr>
          <w:t>[12]</w:t>
        </w:r>
      </w:hyperlink>
      <w:r>
        <w:t xml:space="preserve"> </w:t>
      </w:r>
      <w:hyperlink r:id="rId20">
        <w:r>
          <w:rPr>
            <w:color w:val="386851"/>
            <w:b/>
            <w:rFonts w:ascii="Aptos" w:hAnsi="Aptos"/>
            <w:sz w:val="20"/>
          </w:rPr>
          <w:t>[13]</w:t>
        </w:r>
      </w:hyperlink>
      <w:r>
        <w:t xml:space="preserve"> </w:t>
      </w:r>
      <w:hyperlink r:id="rId21">
        <w:r>
          <w:rPr>
            <w:color w:val="386851"/>
            <w:b/>
            <w:rFonts w:ascii="Aptos" w:hAnsi="Aptos"/>
            <w:sz w:val="20"/>
          </w:rPr>
          <w:t>[14]</w:t>
        </w:r>
      </w:hyperlink>
      <w:r>
        <w:t xml:space="preserve"> His operating standards center on Honesty, Integrity, Professionalism, and Thoroughness.</w:t>
      </w:r>
    </w:p>
    <w:p>
      <w:pPr>
        <w:pStyle w:val="Heading2"/>
        <w:keepNext/>
      </w:pPr>
      <w:r>
        <w:t>Short Biography</w:t>
      </w:r>
    </w:p>
    <w:p>
      <w:pPr>
        <w:pStyle w:val="BodyText"/>
        <w:keepLines w:val="0"/>
        <w:spacing w:after="140"/>
      </w:pPr>
      <w:r>
        <w:t xml:space="preserve">Jeremy Thamert is an Army veteran and the Owner and President of MH Construction, Inc. His background spans military aviation, renewable-energy entrepreneurship, building-code inspection, plans examination, and commercial construction leadership. </w:t>
      </w:r>
      <w:hyperlink r:id="rId9">
        <w:r>
          <w:rPr>
            <w:color w:val="386851"/>
            <w:b/>
            <w:rFonts w:ascii="Aptos" w:hAnsi="Aptos"/>
            <w:sz w:val="20"/>
          </w:rPr>
          <w:t>[1]</w:t>
        </w:r>
      </w:hyperlink>
      <w:r>
        <w:t xml:space="preserve"> </w:t>
      </w:r>
      <w:hyperlink r:id="rId12">
        <w:r>
          <w:rPr>
            <w:color w:val="386851"/>
            <w:b/>
            <w:rFonts w:ascii="Aptos" w:hAnsi="Aptos"/>
            <w:sz w:val="20"/>
          </w:rPr>
          <w:t>[5]</w:t>
        </w:r>
      </w:hyperlink>
      <w:r>
        <w:t xml:space="preserve"> </w:t>
      </w:r>
      <w:hyperlink r:id="rId15">
        <w:r>
          <w:rPr>
            <w:color w:val="386851"/>
            <w:b/>
            <w:rFonts w:ascii="Aptos" w:hAnsi="Aptos"/>
            <w:sz w:val="20"/>
          </w:rPr>
          <w:t>[8]</w:t>
        </w:r>
      </w:hyperlink>
      <w:r>
        <w:t xml:space="preserve"> </w:t>
      </w:r>
      <w:hyperlink r:id="rId16">
        <w:r>
          <w:rPr>
            <w:color w:val="386851"/>
            <w:b/>
            <w:rFonts w:ascii="Aptos" w:hAnsi="Aptos"/>
            <w:sz w:val="20"/>
          </w:rPr>
          <w:t>[9]</w:t>
        </w:r>
      </w:hyperlink>
      <w:r>
        <w:t xml:space="preserve"> He applies disciplined execution and technical accountability to client service across the Inland Northwest.</w:t>
      </w:r>
    </w:p>
    <w:p>
      <w:pPr>
        <w:pStyle w:val="Heading2"/>
        <w:keepNext/>
      </w:pPr>
      <w:r>
        <w:t>Team-Card Biography</w:t>
      </w:r>
    </w:p>
    <w:p>
      <w:pPr>
        <w:pStyle w:val="BodyText"/>
        <w:keepLines w:val="0"/>
        <w:spacing w:after="140"/>
      </w:pPr>
      <w:r>
        <w:t xml:space="preserve">Army veteran Jeremy Thamert leads MH Construction with a field-tested focus on disciplined execution, technical accuracy, and client accountability. His experience spans military aviation, renewable energy, code compliance, and commercial construction. </w:t>
      </w:r>
      <w:hyperlink r:id="rId9">
        <w:r>
          <w:rPr>
            <w:color w:val="386851"/>
            <w:b/>
            <w:rFonts w:ascii="Aptos" w:hAnsi="Aptos"/>
            <w:sz w:val="20"/>
          </w:rPr>
          <w:t>[1]</w:t>
        </w:r>
      </w:hyperlink>
      <w:r>
        <w:t xml:space="preserve"> </w:t>
      </w:r>
      <w:hyperlink r:id="rId12">
        <w:r>
          <w:rPr>
            <w:color w:val="386851"/>
            <w:b/>
            <w:rFonts w:ascii="Aptos" w:hAnsi="Aptos"/>
            <w:sz w:val="20"/>
          </w:rPr>
          <w:t>[5]</w:t>
        </w:r>
      </w:hyperlink>
      <w:r>
        <w:t xml:space="preserve"> </w:t>
      </w:r>
      <w:hyperlink r:id="rId15">
        <w:r>
          <w:rPr>
            <w:color w:val="386851"/>
            <w:b/>
            <w:rFonts w:ascii="Aptos" w:hAnsi="Aptos"/>
            <w:sz w:val="20"/>
          </w:rPr>
          <w:t>[8]</w:t>
        </w:r>
      </w:hyperlink>
      <w:r>
        <w:t xml:space="preserve"> </w:t>
      </w:r>
      <w:hyperlink r:id="rId16">
        <w:r>
          <w:rPr>
            <w:color w:val="386851"/>
            <w:b/>
            <w:rFonts w:ascii="Aptos" w:hAnsi="Aptos"/>
            <w:sz w:val="20"/>
          </w:rPr>
          <w:t>[9]</w:t>
        </w:r>
      </w:hyperlink>
    </w:p>
    <w:p>
      <w:r>
        <w:br w:type="page"/>
      </w:r>
    </w:p>
    <w:p>
      <w:pPr>
        <w:pStyle w:val="Heading1"/>
        <w:keepNext/>
      </w:pPr>
      <w:r>
        <w:t>Structured Website Content Blocks</w:t>
      </w:r>
    </w:p>
    <w:p>
      <w:pPr>
        <w:pStyle w:val="Heading2"/>
        <w:keepNext/>
      </w:pPr>
      <w:r>
        <w:t>Military Service</w:t>
      </w:r>
    </w:p>
    <w:p>
      <w:pPr>
        <w:pStyle w:val="BodyText"/>
        <w:keepLines w:val="0"/>
        <w:spacing w:after="140"/>
      </w:pPr>
      <w:r>
        <w:t xml:space="preserve">Jeremy served 14 years as a U.S. Army flight engineer and is part of a multigenerational military family. </w:t>
      </w:r>
      <w:hyperlink r:id="rId12">
        <w:r>
          <w:rPr>
            <w:color w:val="386851"/>
            <w:b/>
            <w:rFonts w:ascii="Aptos" w:hAnsi="Aptos"/>
            <w:sz w:val="20"/>
          </w:rPr>
          <w:t>[5]</w:t>
        </w:r>
      </w:hyperlink>
      <w:r>
        <w:t xml:space="preserve"> Use this section to explain his standards for preparation, mechanical accuracy, chain-of-command accountability, and mission completion.</w:t>
      </w:r>
    </w:p>
    <w:p>
      <w:pPr>
        <w:pStyle w:val="Heading2"/>
        <w:keepNext/>
      </w:pPr>
      <w:r>
        <w:t>Construction Leadership</w:t>
      </w:r>
    </w:p>
    <w:p>
      <w:pPr>
        <w:pStyle w:val="BodyText"/>
        <w:keepLines w:val="0"/>
        <w:spacing w:after="140"/>
      </w:pPr>
      <w:r>
        <w:t xml:space="preserve">Washington records list Jeremy as the Owner and President of MH Construction, Inc. </w:t>
      </w:r>
      <w:hyperlink r:id="rId9">
        <w:r>
          <w:rPr>
            <w:color w:val="386851"/>
            <w:b/>
            <w:rFonts w:ascii="Aptos" w:hAnsi="Aptos"/>
            <w:sz w:val="20"/>
          </w:rPr>
          <w:t>[1]</w:t>
        </w:r>
      </w:hyperlink>
      <w:r>
        <w:t xml:space="preserve"> Trade and chamber directories connect the company to commercial and industrial work across healthcare, education, religious facilities, development, wineries, demolition, construction management, design-build, special construction, and exterior improvements. </w:t>
      </w:r>
      <w:hyperlink r:id="rId10">
        <w:r>
          <w:rPr>
            <w:color w:val="386851"/>
            <w:b/>
            <w:rFonts w:ascii="Aptos" w:hAnsi="Aptos"/>
            <w:sz w:val="20"/>
          </w:rPr>
          <w:t>[3]</w:t>
        </w:r>
      </w:hyperlink>
      <w:r>
        <w:t xml:space="preserve"> </w:t>
      </w:r>
      <w:hyperlink r:id="rId11">
        <w:r>
          <w:rPr>
            <w:color w:val="386851"/>
            <w:b/>
            <w:rFonts w:ascii="Aptos" w:hAnsi="Aptos"/>
            <w:sz w:val="20"/>
          </w:rPr>
          <w:t>[4]</w:t>
        </w:r>
      </w:hyperlink>
    </w:p>
    <w:p>
      <w:pPr>
        <w:pStyle w:val="Heading2"/>
        <w:keepNext/>
      </w:pPr>
      <w:r>
        <w:t>Entrepreneurial Background</w:t>
      </w:r>
    </w:p>
    <w:p>
      <w:pPr>
        <w:pStyle w:val="BodyText"/>
        <w:keepLines w:val="0"/>
        <w:spacing w:after="140"/>
      </w:pPr>
      <w:r>
        <w:t xml:space="preserve">Jeremy founded Oregon Power Solutions and participated in public-private coordination for renewable-energy siting and planning in Baker County. </w:t>
      </w:r>
      <w:hyperlink r:id="rId15">
        <w:r>
          <w:rPr>
            <w:color w:val="386851"/>
            <w:b/>
            <w:rFonts w:ascii="Aptos" w:hAnsi="Aptos"/>
            <w:sz w:val="20"/>
          </w:rPr>
          <w:t>[8]</w:t>
        </w:r>
      </w:hyperlink>
      <w:r>
        <w:t xml:space="preserve"> Washington records also identify him as principal of High Desert Drywall LLC. </w:t>
      </w:r>
      <w:hyperlink r:id="rId22">
        <w:r>
          <w:rPr>
            <w:color w:val="386851"/>
            <w:b/>
            <w:rFonts w:ascii="Aptos" w:hAnsi="Aptos"/>
            <w:sz w:val="20"/>
          </w:rPr>
          <w:t>[2]</w:t>
        </w:r>
      </w:hyperlink>
    </w:p>
    <w:p>
      <w:pPr>
        <w:pStyle w:val="Heading2"/>
        <w:keepNext/>
      </w:pPr>
      <w:r>
        <w:t>Technical Credentials</w:t>
      </w:r>
    </w:p>
    <w:p>
      <w:pPr>
        <w:pStyle w:val="BodyText"/>
        <w:keepLines w:val="0"/>
        <w:spacing w:after="140"/>
      </w:pPr>
      <w:r>
        <w:t xml:space="preserve">Oregon records dated February 23, 2026 list Jeremy with Oregon Inspector Certification OIC3191 and identifiers for Structural Inspector A-Level, Mechanical Inspector A-Level, Structural Plans Examiner A-Level, and Fire and Life Safety Plans Examiner. </w:t>
      </w:r>
      <w:hyperlink r:id="rId16">
        <w:r>
          <w:rPr>
            <w:color w:val="386851"/>
            <w:b/>
            <w:rFonts w:ascii="Aptos" w:hAnsi="Aptos"/>
            <w:sz w:val="20"/>
          </w:rPr>
          <w:t>[9]</w:t>
        </w:r>
      </w:hyperlink>
      <w:r>
        <w:t xml:space="preserve"> </w:t>
      </w:r>
      <w:hyperlink r:id="rId17">
        <w:r>
          <w:rPr>
            <w:color w:val="386851"/>
            <w:b/>
            <w:rFonts w:ascii="Aptos" w:hAnsi="Aptos"/>
            <w:sz w:val="20"/>
          </w:rPr>
          <w:t>[10]</w:t>
        </w:r>
      </w:hyperlink>
      <w:r>
        <w:t xml:space="preserve"> </w:t>
      </w:r>
      <w:hyperlink r:id="rId18">
        <w:r>
          <w:rPr>
            <w:color w:val="386851"/>
            <w:b/>
            <w:rFonts w:ascii="Aptos" w:hAnsi="Aptos"/>
            <w:sz w:val="20"/>
          </w:rPr>
          <w:t>[11]</w:t>
        </w:r>
      </w:hyperlink>
    </w:p>
    <w:p>
      <w:pPr>
        <w:pStyle w:val="Heading2"/>
        <w:keepNext/>
      </w:pPr>
      <w:r>
        <w:t>Community Involvement</w:t>
      </w:r>
    </w:p>
    <w:p>
      <w:pPr>
        <w:pStyle w:val="BodyText"/>
        <w:keepLines w:val="0"/>
        <w:spacing w:after="140"/>
      </w:pPr>
      <w:r>
        <w:t xml:space="preserve">At the 2026 Cool Desert Nights Smoke &amp; Shine Showdown, Jeremy represented MH Construction as a community BBQ judge and announced the competition winners. </w:t>
      </w:r>
      <w:hyperlink r:id="rId19">
        <w:r>
          <w:rPr>
            <w:color w:val="386851"/>
            <w:b/>
            <w:rFonts w:ascii="Aptos" w:hAnsi="Aptos"/>
            <w:sz w:val="20"/>
          </w:rPr>
          <w:t>[12]</w:t>
        </w:r>
      </w:hyperlink>
      <w:r>
        <w:t xml:space="preserve"> </w:t>
      </w:r>
      <w:hyperlink r:id="rId20">
        <w:r>
          <w:rPr>
            <w:color w:val="386851"/>
            <w:b/>
            <w:rFonts w:ascii="Aptos" w:hAnsi="Aptos"/>
            <w:sz w:val="20"/>
          </w:rPr>
          <w:t>[13]</w:t>
        </w:r>
      </w:hyperlink>
      <w:r>
        <w:t xml:space="preserve"> Public-sampling proceeds supported the Tri-Cities Veterans Cemetery Project. </w:t>
      </w:r>
      <w:hyperlink r:id="rId20">
        <w:r>
          <w:rPr>
            <w:color w:val="386851"/>
            <w:b/>
            <w:rFonts w:ascii="Aptos" w:hAnsi="Aptos"/>
            <w:sz w:val="20"/>
          </w:rPr>
          <w:t>[13]</w:t>
        </w:r>
      </w:hyperlink>
      <w:r>
        <w:t xml:space="preserve"> </w:t>
      </w:r>
      <w:hyperlink r:id="rId21">
        <w:r>
          <w:rPr>
            <w:color w:val="386851"/>
            <w:b/>
            <w:rFonts w:ascii="Aptos" w:hAnsi="Aptos"/>
            <w:sz w:val="20"/>
          </w:rPr>
          <w:t>[14]</w:t>
        </w:r>
      </w:hyperlink>
    </w:p>
    <w:p>
      <w:pPr>
        <w:pStyle w:val="Heading2"/>
        <w:keepNext/>
      </w:pPr>
      <w:r>
        <w:t>Leadership Values</w:t>
      </w:r>
    </w:p>
    <w:p>
      <w:pPr>
        <w:pStyle w:val="BodyText"/>
        <w:keepLines w:val="0"/>
        <w:spacing w:after="140"/>
      </w:pPr>
      <w:r>
        <w:t>Use Honesty, Integrity, Professionalism, and Thoroughness as the organizing values for Jeremy’s leadership narrative. Present these as the operating principles he applies to client commitments, subcontractor accountability, safety, quality control, and project closeout.</w:t>
      </w:r>
    </w:p>
    <w:p>
      <w:pPr>
        <w:pStyle w:val="Heading1"/>
        <w:keepNext/>
      </w:pPr>
      <w:r>
        <w:t>Claim-Level Website Fact Matrix</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512"/>
            <w:vAlign w:val="center"/>
            <w:tcMar>
              <w:top w:w="100" w:type="dxa"/>
              <w:start w:w="120" w:type="dxa"/>
              <w:bottom w:w="100" w:type="dxa"/>
              <w:end w:w="120" w:type="dxa"/>
            </w:tcMar>
            <w:shd w:fill="386851"/>
          </w:tcPr>
          <w:p>
            <w:pPr>
              <w:spacing w:after="0" w:line="240" w:lineRule="auto"/>
            </w:pPr>
            <w:r/>
            <w:r>
              <w:rPr>
                <w:rFonts w:ascii="Aptos" w:hAnsi="Aptos"/>
                <w:b/>
                <w:color w:val="FFFFFF"/>
                <w:sz w:val="18"/>
              </w:rPr>
              <w:t>Category</w:t>
            </w:r>
          </w:p>
        </w:tc>
        <w:tc>
          <w:tcPr>
            <w:tcW w:type="dxa" w:w="4320"/>
            <w:vAlign w:val="center"/>
            <w:tcMar>
              <w:top w:w="100" w:type="dxa"/>
              <w:start w:w="120" w:type="dxa"/>
              <w:bottom w:w="100" w:type="dxa"/>
              <w:end w:w="120" w:type="dxa"/>
            </w:tcMar>
            <w:shd w:fill="386851"/>
          </w:tcPr>
          <w:p>
            <w:pPr>
              <w:spacing w:after="0" w:line="240" w:lineRule="auto"/>
            </w:pPr>
            <w:r/>
            <w:r>
              <w:rPr>
                <w:rFonts w:ascii="Aptos" w:hAnsi="Aptos"/>
                <w:b/>
                <w:color w:val="FFFFFF"/>
                <w:sz w:val="18"/>
              </w:rPr>
              <w:t>Approved Website Fact</w:t>
            </w:r>
          </w:p>
        </w:tc>
        <w:tc>
          <w:tcPr>
            <w:tcW w:type="dxa" w:w="1152"/>
            <w:vAlign w:val="center"/>
            <w:tcMar>
              <w:top w:w="100" w:type="dxa"/>
              <w:start w:w="120" w:type="dxa"/>
              <w:bottom w:w="100" w:type="dxa"/>
              <w:end w:w="120" w:type="dxa"/>
            </w:tcMar>
            <w:shd w:fill="386851"/>
          </w:tcPr>
          <w:p>
            <w:pPr>
              <w:spacing w:after="0" w:line="240" w:lineRule="auto"/>
            </w:pPr>
            <w:r/>
            <w:r>
              <w:rPr>
                <w:rFonts w:ascii="Aptos" w:hAnsi="Aptos"/>
                <w:b/>
                <w:color w:val="FFFFFF"/>
                <w:sz w:val="18"/>
              </w:rPr>
              <w:t>Sources</w:t>
            </w:r>
          </w:p>
        </w:tc>
        <w:tc>
          <w:tcPr>
            <w:tcW w:type="dxa" w:w="3672"/>
            <w:vAlign w:val="center"/>
            <w:tcMar>
              <w:top w:w="100" w:type="dxa"/>
              <w:start w:w="120" w:type="dxa"/>
              <w:bottom w:w="100" w:type="dxa"/>
              <w:end w:w="120" w:type="dxa"/>
            </w:tcMar>
            <w:shd w:fill="386851"/>
          </w:tcPr>
          <w:p>
            <w:pPr>
              <w:spacing w:after="0" w:line="240" w:lineRule="auto"/>
            </w:pPr>
            <w:r/>
            <w:r>
              <w:rPr>
                <w:rFonts w:ascii="Aptos" w:hAnsi="Aptos"/>
                <w:b/>
                <w:color w:val="FFFFFF"/>
                <w:sz w:val="18"/>
              </w:rPr>
              <w:t>Control</w:t>
            </w:r>
          </w:p>
        </w:tc>
      </w:tr>
      <w:tr>
        <w:trPr>
          <w:cantSplit/>
        </w:trPr>
        <w:tc>
          <w:tcPr>
            <w:tcW w:type="dxa" w:w="1512"/>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Identity</w:t>
            </w:r>
          </w:p>
        </w:tc>
        <w:tc>
          <w:tcPr>
            <w:tcW w:type="dxa" w:w="4320"/>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Owner and President of MH Construction, Inc.</w:t>
            </w:r>
          </w:p>
        </w:tc>
        <w:tc>
          <w:tcPr>
            <w:tcW w:type="dxa" w:w="1152"/>
            <w:tcMar>
              <w:top w:w="100" w:type="dxa"/>
              <w:start w:w="120" w:type="dxa"/>
              <w:bottom w:w="100" w:type="dxa"/>
              <w:end w:w="120" w:type="dxa"/>
            </w:tcMar>
            <w:shd w:fill="FFFFFF"/>
          </w:tcPr>
          <w:p>
            <w:pPr>
              <w:spacing w:after="0"/>
            </w:pPr>
            <w:r/>
            <w:hyperlink r:id="rId9">
              <w:r>
                <w:rPr>
                  <w:color w:val="386851"/>
                  <w:b/>
                  <w:rFonts w:ascii="Aptos" w:hAnsi="Aptos"/>
                  <w:sz w:val="20"/>
                </w:rPr>
                <w:t>[1]</w:t>
              </w:r>
            </w:hyperlink>
          </w:p>
        </w:tc>
        <w:tc>
          <w:tcPr>
            <w:tcW w:type="dxa" w:w="3672"/>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Direct state record; recheck if ownership changes.</w:t>
            </w:r>
          </w:p>
        </w:tc>
      </w:tr>
      <w:tr>
        <w:trPr>
          <w:cantSplit/>
        </w:trPr>
        <w:tc>
          <w:tcPr>
            <w:tcW w:type="dxa" w:w="1512"/>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Army</w:t>
            </w:r>
          </w:p>
        </w:tc>
        <w:tc>
          <w:tcPr>
            <w:tcW w:type="dxa" w:w="4320"/>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Served 14 years as a U.S. Army flight engineer.</w:t>
            </w:r>
          </w:p>
        </w:tc>
        <w:tc>
          <w:tcPr>
            <w:tcW w:type="dxa" w:w="1152"/>
            <w:tcMar>
              <w:top w:w="100" w:type="dxa"/>
              <w:start w:w="120" w:type="dxa"/>
              <w:bottom w:w="100" w:type="dxa"/>
              <w:end w:w="120" w:type="dxa"/>
            </w:tcMar>
            <w:shd w:fill="F2F4F3"/>
          </w:tcPr>
          <w:p>
            <w:pPr>
              <w:spacing w:after="0"/>
            </w:pPr>
            <w:r/>
            <w:hyperlink r:id="rId12">
              <w:r>
                <w:rPr>
                  <w:color w:val="386851"/>
                  <w:b/>
                  <w:rFonts w:ascii="Aptos" w:hAnsi="Aptos"/>
                  <w:sz w:val="20"/>
                </w:rPr>
                <w:t>[5]</w:t>
              </w:r>
            </w:hyperlink>
          </w:p>
        </w:tc>
        <w:tc>
          <w:tcPr>
            <w:tcW w:type="dxa" w:w="3672"/>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Attribute to independent reporting; military personnel file not public.</w:t>
            </w:r>
          </w:p>
        </w:tc>
      </w:tr>
      <w:tr>
        <w:trPr>
          <w:cantSplit/>
        </w:trPr>
        <w:tc>
          <w:tcPr>
            <w:tcW w:type="dxa" w:w="1512"/>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Military Family</w:t>
            </w:r>
          </w:p>
        </w:tc>
        <w:tc>
          <w:tcPr>
            <w:tcW w:type="dxa" w:w="4320"/>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Part of a multigenerational military family.</w:t>
            </w:r>
          </w:p>
        </w:tc>
        <w:tc>
          <w:tcPr>
            <w:tcW w:type="dxa" w:w="1152"/>
            <w:tcMar>
              <w:top w:w="100" w:type="dxa"/>
              <w:start w:w="120" w:type="dxa"/>
              <w:bottom w:w="100" w:type="dxa"/>
              <w:end w:w="120" w:type="dxa"/>
            </w:tcMar>
            <w:shd w:fill="FFFFFF"/>
          </w:tcPr>
          <w:p>
            <w:pPr>
              <w:spacing w:after="0"/>
            </w:pPr>
            <w:r/>
            <w:hyperlink r:id="rId12">
              <w:r>
                <w:rPr>
                  <w:color w:val="386851"/>
                  <w:b/>
                  <w:rFonts w:ascii="Aptos" w:hAnsi="Aptos"/>
                  <w:sz w:val="20"/>
                </w:rPr>
                <w:t>[5]</w:t>
              </w:r>
            </w:hyperlink>
          </w:p>
        </w:tc>
        <w:tc>
          <w:tcPr>
            <w:tcW w:type="dxa" w:w="3672"/>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Do not add branches, ranks, or dates for relatives.</w:t>
            </w:r>
          </w:p>
        </w:tc>
      </w:tr>
      <w:tr>
        <w:trPr>
          <w:cantSplit/>
        </w:trPr>
        <w:tc>
          <w:tcPr>
            <w:tcW w:type="dxa" w:w="1512"/>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Veteran Business</w:t>
            </w:r>
          </w:p>
        </w:tc>
        <w:tc>
          <w:tcPr>
            <w:tcW w:type="dxa" w:w="4320"/>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MH Construction is recorded as a Washington veteran-owned vendor.</w:t>
            </w:r>
          </w:p>
        </w:tc>
        <w:tc>
          <w:tcPr>
            <w:tcW w:type="dxa" w:w="1152"/>
            <w:tcMar>
              <w:top w:w="100" w:type="dxa"/>
              <w:start w:w="120" w:type="dxa"/>
              <w:bottom w:w="100" w:type="dxa"/>
              <w:end w:w="120" w:type="dxa"/>
            </w:tcMar>
            <w:shd w:fill="F2F4F3"/>
          </w:tcPr>
          <w:p>
            <w:pPr>
              <w:spacing w:after="0"/>
            </w:pPr>
            <w:r/>
            <w:hyperlink r:id="rId13">
              <w:r>
                <w:rPr>
                  <w:color w:val="386851"/>
                  <w:b/>
                  <w:rFonts w:ascii="Aptos" w:hAnsi="Aptos"/>
                  <w:sz w:val="20"/>
                </w:rPr>
                <w:t>[6]</w:t>
              </w:r>
            </w:hyperlink>
            <w:r>
              <w:t xml:space="preserve"> </w:t>
            </w:r>
            <w:hyperlink r:id="rId14">
              <w:r>
                <w:rPr>
                  <w:color w:val="386851"/>
                  <w:b/>
                  <w:rFonts w:ascii="Aptos" w:hAnsi="Aptos"/>
                  <w:sz w:val="20"/>
                </w:rPr>
                <w:t>[7]</w:t>
              </w:r>
            </w:hyperlink>
          </w:p>
        </w:tc>
        <w:tc>
          <w:tcPr>
            <w:tcW w:type="dxa" w:w="3672"/>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Company status; public registry does not name qualifying veteran.</w:t>
            </w:r>
          </w:p>
        </w:tc>
      </w:tr>
      <w:tr>
        <w:trPr>
          <w:cantSplit/>
        </w:trPr>
        <w:tc>
          <w:tcPr>
            <w:tcW w:type="dxa" w:w="1512"/>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Renewable Energy</w:t>
            </w:r>
          </w:p>
        </w:tc>
        <w:tc>
          <w:tcPr>
            <w:tcW w:type="dxa" w:w="4320"/>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Founder of Oregon Power Solutions.</w:t>
            </w:r>
          </w:p>
        </w:tc>
        <w:tc>
          <w:tcPr>
            <w:tcW w:type="dxa" w:w="1152"/>
            <w:tcMar>
              <w:top w:w="100" w:type="dxa"/>
              <w:start w:w="120" w:type="dxa"/>
              <w:bottom w:w="100" w:type="dxa"/>
              <w:end w:w="120" w:type="dxa"/>
            </w:tcMar>
            <w:shd w:fill="FFFFFF"/>
          </w:tcPr>
          <w:p>
            <w:pPr>
              <w:spacing w:after="0"/>
            </w:pPr>
            <w:r/>
            <w:hyperlink r:id="rId15">
              <w:r>
                <w:rPr>
                  <w:color w:val="386851"/>
                  <w:b/>
                  <w:rFonts w:ascii="Aptos" w:hAnsi="Aptos"/>
                  <w:sz w:val="20"/>
                </w:rPr>
                <w:t>[8]</w:t>
              </w:r>
            </w:hyperlink>
          </w:p>
        </w:tc>
        <w:tc>
          <w:tcPr>
            <w:tcW w:type="dxa" w:w="3672"/>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Do not add a founding date without corporate records.</w:t>
            </w:r>
          </w:p>
        </w:tc>
      </w:tr>
      <w:tr>
        <w:trPr>
          <w:cantSplit/>
        </w:trPr>
        <w:tc>
          <w:tcPr>
            <w:tcW w:type="dxa" w:w="1512"/>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Public Coordination</w:t>
            </w:r>
          </w:p>
        </w:tc>
        <w:tc>
          <w:tcPr>
            <w:tcW w:type="dxa" w:w="4320"/>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Represented private-sector concerns in 2008 wind-energy siting discussions.</w:t>
            </w:r>
          </w:p>
        </w:tc>
        <w:tc>
          <w:tcPr>
            <w:tcW w:type="dxa" w:w="1152"/>
            <w:tcMar>
              <w:top w:w="100" w:type="dxa"/>
              <w:start w:w="120" w:type="dxa"/>
              <w:bottom w:w="100" w:type="dxa"/>
              <w:end w:w="120" w:type="dxa"/>
            </w:tcMar>
            <w:shd w:fill="F2F4F3"/>
          </w:tcPr>
          <w:p>
            <w:pPr>
              <w:spacing w:after="0"/>
            </w:pPr>
            <w:r/>
            <w:hyperlink r:id="rId15">
              <w:r>
                <w:rPr>
                  <w:color w:val="386851"/>
                  <w:b/>
                  <w:rFonts w:ascii="Aptos" w:hAnsi="Aptos"/>
                  <w:sz w:val="20"/>
                </w:rPr>
                <w:t>[8]</w:t>
              </w:r>
            </w:hyperlink>
          </w:p>
        </w:tc>
        <w:tc>
          <w:tcPr>
            <w:tcW w:type="dxa" w:w="3672"/>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Do not imply appointment to the governor’s team.</w:t>
            </w:r>
          </w:p>
        </w:tc>
      </w:tr>
      <w:tr>
        <w:trPr>
          <w:cantSplit/>
        </w:trPr>
        <w:tc>
          <w:tcPr>
            <w:tcW w:type="dxa" w:w="1512"/>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Drywall Business</w:t>
            </w:r>
          </w:p>
        </w:tc>
        <w:tc>
          <w:tcPr>
            <w:tcW w:type="dxa" w:w="4320"/>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Principal of High Desert Drywall LLC.</w:t>
            </w:r>
          </w:p>
        </w:tc>
        <w:tc>
          <w:tcPr>
            <w:tcW w:type="dxa" w:w="1152"/>
            <w:tcMar>
              <w:top w:w="100" w:type="dxa"/>
              <w:start w:w="120" w:type="dxa"/>
              <w:bottom w:w="100" w:type="dxa"/>
              <w:end w:w="120" w:type="dxa"/>
            </w:tcMar>
            <w:shd w:fill="FFFFFF"/>
          </w:tcPr>
          <w:p>
            <w:pPr>
              <w:spacing w:after="0"/>
            </w:pPr>
            <w:r/>
            <w:hyperlink r:id="rId22">
              <w:r>
                <w:rPr>
                  <w:color w:val="386851"/>
                  <w:b/>
                  <w:rFonts w:ascii="Aptos" w:hAnsi="Aptos"/>
                  <w:sz w:val="20"/>
                </w:rPr>
                <w:t>[2]</w:t>
              </w:r>
            </w:hyperlink>
          </w:p>
        </w:tc>
        <w:tc>
          <w:tcPr>
            <w:tcW w:type="dxa" w:w="3672"/>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Keep entity separate from MH Construction.</w:t>
            </w:r>
          </w:p>
        </w:tc>
      </w:tr>
      <w:tr>
        <w:trPr>
          <w:cantSplit/>
        </w:trPr>
        <w:tc>
          <w:tcPr>
            <w:tcW w:type="dxa" w:w="1512"/>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Oregon Credentials</w:t>
            </w:r>
          </w:p>
        </w:tc>
        <w:tc>
          <w:tcPr>
            <w:tcW w:type="dxa" w:w="4320"/>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Oregon records list five inspector or plans-examiner credential identifiers.</w:t>
            </w:r>
          </w:p>
        </w:tc>
        <w:tc>
          <w:tcPr>
            <w:tcW w:type="dxa" w:w="1152"/>
            <w:tcMar>
              <w:top w:w="100" w:type="dxa"/>
              <w:start w:w="120" w:type="dxa"/>
              <w:bottom w:w="100" w:type="dxa"/>
              <w:end w:w="120" w:type="dxa"/>
            </w:tcMar>
            <w:shd w:fill="F2F4F3"/>
          </w:tcPr>
          <w:p>
            <w:pPr>
              <w:spacing w:after="0"/>
            </w:pPr>
            <w:r/>
            <w:hyperlink r:id="rId16">
              <w:r>
                <w:rPr>
                  <w:color w:val="386851"/>
                  <w:b/>
                  <w:rFonts w:ascii="Aptos" w:hAnsi="Aptos"/>
                  <w:sz w:val="20"/>
                </w:rPr>
                <w:t>[9]</w:t>
              </w:r>
            </w:hyperlink>
            <w:r>
              <w:t xml:space="preserve"> </w:t>
            </w:r>
            <w:hyperlink r:id="rId17">
              <w:r>
                <w:rPr>
                  <w:color w:val="386851"/>
                  <w:b/>
                  <w:rFonts w:ascii="Aptos" w:hAnsi="Aptos"/>
                  <w:sz w:val="20"/>
                </w:rPr>
                <w:t>[10]</w:t>
              </w:r>
            </w:hyperlink>
            <w:r>
              <w:t xml:space="preserve"> </w:t>
            </w:r>
            <w:hyperlink r:id="rId18">
              <w:r>
                <w:rPr>
                  <w:color w:val="386851"/>
                  <w:b/>
                  <w:rFonts w:ascii="Aptos" w:hAnsi="Aptos"/>
                  <w:sz w:val="20"/>
                </w:rPr>
                <w:t>[11]</w:t>
              </w:r>
            </w:hyperlink>
          </w:p>
        </w:tc>
        <w:tc>
          <w:tcPr>
            <w:tcW w:type="dxa" w:w="3672"/>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Use “records list” or “has held” pending current status check.</w:t>
            </w:r>
          </w:p>
        </w:tc>
      </w:tr>
      <w:tr>
        <w:trPr>
          <w:cantSplit/>
        </w:trPr>
        <w:tc>
          <w:tcPr>
            <w:tcW w:type="dxa" w:w="1512"/>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Community</w:t>
            </w:r>
          </w:p>
        </w:tc>
        <w:tc>
          <w:tcPr>
            <w:tcW w:type="dxa" w:w="4320"/>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Community judge and awards announcer at the 2026 Smoke &amp; Shine Showdown.</w:t>
            </w:r>
          </w:p>
        </w:tc>
        <w:tc>
          <w:tcPr>
            <w:tcW w:type="dxa" w:w="1152"/>
            <w:tcMar>
              <w:top w:w="100" w:type="dxa"/>
              <w:start w:w="120" w:type="dxa"/>
              <w:bottom w:w="100" w:type="dxa"/>
              <w:end w:w="120" w:type="dxa"/>
            </w:tcMar>
            <w:shd w:fill="FFFFFF"/>
          </w:tcPr>
          <w:p>
            <w:pPr>
              <w:spacing w:after="0"/>
            </w:pPr>
            <w:r/>
            <w:hyperlink r:id="rId19">
              <w:r>
                <w:rPr>
                  <w:color w:val="386851"/>
                  <w:b/>
                  <w:rFonts w:ascii="Aptos" w:hAnsi="Aptos"/>
                  <w:sz w:val="20"/>
                </w:rPr>
                <w:t>[12]</w:t>
              </w:r>
            </w:hyperlink>
            <w:r>
              <w:t xml:space="preserve"> </w:t>
            </w:r>
            <w:hyperlink r:id="rId20">
              <w:r>
                <w:rPr>
                  <w:color w:val="386851"/>
                  <w:b/>
                  <w:rFonts w:ascii="Aptos" w:hAnsi="Aptos"/>
                  <w:sz w:val="20"/>
                </w:rPr>
                <w:t>[13]</w:t>
              </w:r>
            </w:hyperlink>
            <w:r>
              <w:t xml:space="preserve"> </w:t>
            </w:r>
            <w:hyperlink r:id="rId21">
              <w:r>
                <w:rPr>
                  <w:color w:val="386851"/>
                  <w:b/>
                  <w:rFonts w:ascii="Aptos" w:hAnsi="Aptos"/>
                  <w:sz w:val="20"/>
                </w:rPr>
                <w:t>[14]</w:t>
              </w:r>
            </w:hyperlink>
          </w:p>
        </w:tc>
        <w:tc>
          <w:tcPr>
            <w:tcW w:type="dxa" w:w="3672"/>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Do not claim personal control of sponsorship or proceeds.</w:t>
            </w:r>
          </w:p>
        </w:tc>
      </w:tr>
    </w:tbl>
    <w:p>
      <w:pPr>
        <w:spacing w:after="0"/>
      </w:pPr>
    </w:p>
    <w:p>
      <w:r>
        <w:br w:type="page"/>
      </w:r>
    </w:p>
    <w:p>
      <w:pPr>
        <w:pStyle w:val="Heading1"/>
        <w:keepNext/>
      </w:pPr>
      <w:r>
        <w:t>Link Distribution Plan</w:t>
      </w:r>
    </w:p>
    <w:p>
      <w:pPr>
        <w:pStyle w:val="BodyText"/>
        <w:keepLines w:val="0"/>
        <w:spacing w:after="140"/>
      </w:pPr>
      <w:r>
        <w:t>Use descriptive anchor text rather than raw URLs in public-facing copy. The table below assigns each source to the most relevant website location.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944"/>
            <w:vAlign w:val="center"/>
            <w:tcMar>
              <w:top w:w="100" w:type="dxa"/>
              <w:start w:w="120" w:type="dxa"/>
              <w:bottom w:w="100" w:type="dxa"/>
              <w:end w:w="120" w:type="dxa"/>
            </w:tcMar>
            <w:shd w:fill="386851"/>
          </w:tcPr>
          <w:p>
            <w:pPr>
              <w:spacing w:after="0" w:line="240" w:lineRule="auto"/>
            </w:pPr>
            <w:r/>
            <w:r>
              <w:rPr>
                <w:rFonts w:ascii="Aptos" w:hAnsi="Aptos"/>
                <w:b/>
                <w:color w:val="FFFFFF"/>
                <w:sz w:val="18"/>
              </w:rPr>
              <w:t>Website Placement</w:t>
            </w:r>
          </w:p>
        </w:tc>
        <w:tc>
          <w:tcPr>
            <w:tcW w:type="dxa" w:w="3096"/>
            <w:vAlign w:val="center"/>
            <w:tcMar>
              <w:top w:w="100" w:type="dxa"/>
              <w:start w:w="120" w:type="dxa"/>
              <w:bottom w:w="100" w:type="dxa"/>
              <w:end w:w="120" w:type="dxa"/>
            </w:tcMar>
            <w:shd w:fill="386851"/>
          </w:tcPr>
          <w:p>
            <w:pPr>
              <w:spacing w:after="0" w:line="240" w:lineRule="auto"/>
            </w:pPr>
            <w:r/>
            <w:r>
              <w:rPr>
                <w:rFonts w:ascii="Aptos" w:hAnsi="Aptos"/>
                <w:b/>
                <w:color w:val="FFFFFF"/>
                <w:sz w:val="18"/>
              </w:rPr>
              <w:t>Recommended Anchor</w:t>
            </w:r>
          </w:p>
        </w:tc>
        <w:tc>
          <w:tcPr>
            <w:tcW w:type="dxa" w:w="3672"/>
            <w:vAlign w:val="center"/>
            <w:tcMar>
              <w:top w:w="100" w:type="dxa"/>
              <w:start w:w="120" w:type="dxa"/>
              <w:bottom w:w="100" w:type="dxa"/>
              <w:end w:w="120" w:type="dxa"/>
            </w:tcMar>
            <w:shd w:fill="386851"/>
          </w:tcPr>
          <w:p>
            <w:pPr>
              <w:spacing w:after="0" w:line="240" w:lineRule="auto"/>
            </w:pPr>
            <w:r/>
            <w:r>
              <w:rPr>
                <w:rFonts w:ascii="Aptos" w:hAnsi="Aptos"/>
                <w:b/>
                <w:color w:val="FFFFFF"/>
                <w:sz w:val="18"/>
              </w:rPr>
              <w:t>Source Purpose</w:t>
            </w:r>
          </w:p>
        </w:tc>
        <w:tc>
          <w:tcPr>
            <w:tcW w:type="dxa" w:w="1152"/>
            <w:vAlign w:val="center"/>
            <w:tcMar>
              <w:top w:w="100" w:type="dxa"/>
              <w:start w:w="120" w:type="dxa"/>
              <w:bottom w:w="100" w:type="dxa"/>
              <w:end w:w="120" w:type="dxa"/>
            </w:tcMar>
            <w:shd w:fill="386851"/>
          </w:tcPr>
          <w:p>
            <w:pPr>
              <w:spacing w:after="0" w:line="240" w:lineRule="auto"/>
            </w:pPr>
            <w:r/>
            <w:r>
              <w:rPr>
                <w:rFonts w:ascii="Aptos" w:hAnsi="Aptos"/>
                <w:b/>
                <w:color w:val="FFFFFF"/>
                <w:sz w:val="18"/>
              </w:rPr>
              <w:t>Links</w:t>
            </w:r>
          </w:p>
        </w:tc>
      </w:tr>
      <w:tr>
        <w:trPr>
          <w:cantSplit/>
        </w:trPr>
        <w:tc>
          <w:tcPr>
            <w:tcW w:type="dxa" w:w="1944"/>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Leadership bio</w:t>
            </w:r>
          </w:p>
        </w:tc>
        <w:tc>
          <w:tcPr>
            <w:tcW w:type="dxa" w:w="3096"/>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Owner and President</w:t>
            </w:r>
          </w:p>
        </w:tc>
        <w:tc>
          <w:tcPr>
            <w:tcW w:type="dxa" w:w="3672"/>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Washington L&amp;I contractor record</w:t>
            </w:r>
          </w:p>
        </w:tc>
        <w:tc>
          <w:tcPr>
            <w:tcW w:type="dxa" w:w="1152"/>
            <w:tcMar>
              <w:top w:w="100" w:type="dxa"/>
              <w:start w:w="120" w:type="dxa"/>
              <w:bottom w:w="100" w:type="dxa"/>
              <w:end w:w="120" w:type="dxa"/>
            </w:tcMar>
            <w:shd w:fill="FFFFFF"/>
          </w:tcPr>
          <w:p>
            <w:pPr>
              <w:spacing w:after="0"/>
            </w:pPr>
            <w:r/>
            <w:hyperlink r:id="rId9">
              <w:r>
                <w:rPr>
                  <w:color w:val="386851"/>
                  <w:b/>
                  <w:rFonts w:ascii="Aptos" w:hAnsi="Aptos"/>
                  <w:sz w:val="20"/>
                </w:rPr>
                <w:t>[1]</w:t>
              </w:r>
            </w:hyperlink>
          </w:p>
        </w:tc>
      </w:tr>
      <w:tr>
        <w:trPr>
          <w:cantSplit/>
        </w:trPr>
        <w:tc>
          <w:tcPr>
            <w:tcW w:type="dxa" w:w="1944"/>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Leadership bio</w:t>
            </w:r>
          </w:p>
        </w:tc>
        <w:tc>
          <w:tcPr>
            <w:tcW w:type="dxa" w:w="3096"/>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14 years as an Army flight engineer</w:t>
            </w:r>
          </w:p>
        </w:tc>
        <w:tc>
          <w:tcPr>
            <w:tcW w:type="dxa" w:w="3672"/>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Independent Army-service profile</w:t>
            </w:r>
          </w:p>
        </w:tc>
        <w:tc>
          <w:tcPr>
            <w:tcW w:type="dxa" w:w="1152"/>
            <w:tcMar>
              <w:top w:w="100" w:type="dxa"/>
              <w:start w:w="120" w:type="dxa"/>
              <w:bottom w:w="100" w:type="dxa"/>
              <w:end w:w="120" w:type="dxa"/>
            </w:tcMar>
            <w:shd w:fill="F2F4F3"/>
          </w:tcPr>
          <w:p>
            <w:pPr>
              <w:spacing w:after="0"/>
            </w:pPr>
            <w:r/>
            <w:hyperlink r:id="rId12">
              <w:r>
                <w:rPr>
                  <w:color w:val="386851"/>
                  <w:b/>
                  <w:rFonts w:ascii="Aptos" w:hAnsi="Aptos"/>
                  <w:sz w:val="20"/>
                </w:rPr>
                <w:t>[5]</w:t>
              </w:r>
            </w:hyperlink>
          </w:p>
        </w:tc>
      </w:tr>
      <w:tr>
        <w:trPr>
          <w:cantSplit/>
        </w:trPr>
        <w:tc>
          <w:tcPr>
            <w:tcW w:type="dxa" w:w="1944"/>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Veteran-owned section</w:t>
            </w:r>
          </w:p>
        </w:tc>
        <w:tc>
          <w:tcPr>
            <w:tcW w:type="dxa" w:w="3096"/>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Washington veteran-owned business</w:t>
            </w:r>
          </w:p>
        </w:tc>
        <w:tc>
          <w:tcPr>
            <w:tcW w:type="dxa" w:w="3672"/>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State vendor and eligibility pages</w:t>
            </w:r>
          </w:p>
        </w:tc>
        <w:tc>
          <w:tcPr>
            <w:tcW w:type="dxa" w:w="1152"/>
            <w:tcMar>
              <w:top w:w="100" w:type="dxa"/>
              <w:start w:w="120" w:type="dxa"/>
              <w:bottom w:w="100" w:type="dxa"/>
              <w:end w:w="120" w:type="dxa"/>
            </w:tcMar>
            <w:shd w:fill="FFFFFF"/>
          </w:tcPr>
          <w:p>
            <w:pPr>
              <w:spacing w:after="0"/>
            </w:pPr>
            <w:r/>
            <w:hyperlink r:id="rId13">
              <w:r>
                <w:rPr>
                  <w:color w:val="386851"/>
                  <w:b/>
                  <w:rFonts w:ascii="Aptos" w:hAnsi="Aptos"/>
                  <w:sz w:val="20"/>
                </w:rPr>
                <w:t>[6]</w:t>
              </w:r>
            </w:hyperlink>
            <w:r>
              <w:t xml:space="preserve"> </w:t>
            </w:r>
            <w:hyperlink r:id="rId14">
              <w:r>
                <w:rPr>
                  <w:color w:val="386851"/>
                  <w:b/>
                  <w:rFonts w:ascii="Aptos" w:hAnsi="Aptos"/>
                  <w:sz w:val="20"/>
                </w:rPr>
                <w:t>[7]</w:t>
              </w:r>
            </w:hyperlink>
          </w:p>
        </w:tc>
      </w:tr>
      <w:tr>
        <w:trPr>
          <w:cantSplit/>
        </w:trPr>
        <w:tc>
          <w:tcPr>
            <w:tcW w:type="dxa" w:w="1944"/>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Experience timeline</w:t>
            </w:r>
          </w:p>
        </w:tc>
        <w:tc>
          <w:tcPr>
            <w:tcW w:type="dxa" w:w="3096"/>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Founder of Oregon Power Solutions</w:t>
            </w:r>
          </w:p>
        </w:tc>
        <w:tc>
          <w:tcPr>
            <w:tcW w:type="dxa" w:w="3672"/>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Independent renewable-energy article</w:t>
            </w:r>
          </w:p>
        </w:tc>
        <w:tc>
          <w:tcPr>
            <w:tcW w:type="dxa" w:w="1152"/>
            <w:tcMar>
              <w:top w:w="100" w:type="dxa"/>
              <w:start w:w="120" w:type="dxa"/>
              <w:bottom w:w="100" w:type="dxa"/>
              <w:end w:w="120" w:type="dxa"/>
            </w:tcMar>
            <w:shd w:fill="F2F4F3"/>
          </w:tcPr>
          <w:p>
            <w:pPr>
              <w:spacing w:after="0"/>
            </w:pPr>
            <w:r/>
            <w:hyperlink r:id="rId15">
              <w:r>
                <w:rPr>
                  <w:color w:val="386851"/>
                  <w:b/>
                  <w:rFonts w:ascii="Aptos" w:hAnsi="Aptos"/>
                  <w:sz w:val="20"/>
                </w:rPr>
                <w:t>[8]</w:t>
              </w:r>
            </w:hyperlink>
          </w:p>
        </w:tc>
      </w:tr>
      <w:tr>
        <w:trPr>
          <w:cantSplit/>
        </w:trPr>
        <w:tc>
          <w:tcPr>
            <w:tcW w:type="dxa" w:w="1944"/>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Credentials section</w:t>
            </w:r>
          </w:p>
        </w:tc>
        <w:tc>
          <w:tcPr>
            <w:tcW w:type="dxa" w:w="3096"/>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Oregon inspector and plans-examiner records</w:t>
            </w:r>
          </w:p>
        </w:tc>
        <w:tc>
          <w:tcPr>
            <w:tcW w:type="dxa" w:w="3672"/>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Tracking record and certification manual</w:t>
            </w:r>
          </w:p>
        </w:tc>
        <w:tc>
          <w:tcPr>
            <w:tcW w:type="dxa" w:w="1152"/>
            <w:tcMar>
              <w:top w:w="100" w:type="dxa"/>
              <w:start w:w="120" w:type="dxa"/>
              <w:bottom w:w="100" w:type="dxa"/>
              <w:end w:w="120" w:type="dxa"/>
            </w:tcMar>
            <w:shd w:fill="FFFFFF"/>
          </w:tcPr>
          <w:p>
            <w:pPr>
              <w:spacing w:after="0"/>
            </w:pPr>
            <w:r/>
            <w:hyperlink r:id="rId16">
              <w:r>
                <w:rPr>
                  <w:color w:val="386851"/>
                  <w:b/>
                  <w:rFonts w:ascii="Aptos" w:hAnsi="Aptos"/>
                  <w:sz w:val="20"/>
                </w:rPr>
                <w:t>[9]</w:t>
              </w:r>
            </w:hyperlink>
            <w:r>
              <w:t xml:space="preserve"> </w:t>
            </w:r>
            <w:hyperlink r:id="rId17">
              <w:r>
                <w:rPr>
                  <w:color w:val="386851"/>
                  <w:b/>
                  <w:rFonts w:ascii="Aptos" w:hAnsi="Aptos"/>
                  <w:sz w:val="20"/>
                </w:rPr>
                <w:t>[10]</w:t>
              </w:r>
            </w:hyperlink>
            <w:r>
              <w:t xml:space="preserve"> </w:t>
            </w:r>
            <w:hyperlink r:id="rId18">
              <w:r>
                <w:rPr>
                  <w:color w:val="386851"/>
                  <w:b/>
                  <w:rFonts w:ascii="Aptos" w:hAnsi="Aptos"/>
                  <w:sz w:val="20"/>
                </w:rPr>
                <w:t>[11]</w:t>
              </w:r>
            </w:hyperlink>
          </w:p>
        </w:tc>
      </w:tr>
      <w:tr>
        <w:trPr>
          <w:cantSplit/>
        </w:trPr>
        <w:tc>
          <w:tcPr>
            <w:tcW w:type="dxa" w:w="1944"/>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Company affiliations</w:t>
            </w:r>
          </w:p>
        </w:tc>
        <w:tc>
          <w:tcPr>
            <w:tcW w:type="dxa" w:w="3096"/>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Tri-City Regional Chamber</w:t>
            </w:r>
          </w:p>
        </w:tc>
        <w:tc>
          <w:tcPr>
            <w:tcW w:type="dxa" w:w="3672"/>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Chamber directory</w:t>
            </w:r>
          </w:p>
        </w:tc>
        <w:tc>
          <w:tcPr>
            <w:tcW w:type="dxa" w:w="1152"/>
            <w:tcMar>
              <w:top w:w="100" w:type="dxa"/>
              <w:start w:w="120" w:type="dxa"/>
              <w:bottom w:w="100" w:type="dxa"/>
              <w:end w:w="120" w:type="dxa"/>
            </w:tcMar>
            <w:shd w:fill="F2F4F3"/>
          </w:tcPr>
          <w:p>
            <w:pPr>
              <w:spacing w:after="0"/>
            </w:pPr>
            <w:r/>
            <w:hyperlink r:id="rId10">
              <w:r>
                <w:rPr>
                  <w:color w:val="386851"/>
                  <w:b/>
                  <w:rFonts w:ascii="Aptos" w:hAnsi="Aptos"/>
                  <w:sz w:val="20"/>
                </w:rPr>
                <w:t>[3]</w:t>
              </w:r>
            </w:hyperlink>
          </w:p>
        </w:tc>
      </w:tr>
      <w:tr>
        <w:trPr>
          <w:cantSplit/>
        </w:trPr>
        <w:tc>
          <w:tcPr>
            <w:tcW w:type="dxa" w:w="1944"/>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Company affiliations</w:t>
            </w:r>
          </w:p>
        </w:tc>
        <w:tc>
          <w:tcPr>
            <w:tcW w:type="dxa" w:w="3096"/>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Inland Northwest AGC</w:t>
            </w:r>
          </w:p>
        </w:tc>
        <w:tc>
          <w:tcPr>
            <w:tcW w:type="dxa" w:w="3672"/>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Member directory</w:t>
            </w:r>
          </w:p>
        </w:tc>
        <w:tc>
          <w:tcPr>
            <w:tcW w:type="dxa" w:w="1152"/>
            <w:tcMar>
              <w:top w:w="100" w:type="dxa"/>
              <w:start w:w="120" w:type="dxa"/>
              <w:bottom w:w="100" w:type="dxa"/>
              <w:end w:w="120" w:type="dxa"/>
            </w:tcMar>
            <w:shd w:fill="FFFFFF"/>
          </w:tcPr>
          <w:p>
            <w:pPr>
              <w:spacing w:after="0"/>
            </w:pPr>
            <w:r/>
            <w:hyperlink r:id="rId11">
              <w:r>
                <w:rPr>
                  <w:color w:val="386851"/>
                  <w:b/>
                  <w:rFonts w:ascii="Aptos" w:hAnsi="Aptos"/>
                  <w:sz w:val="20"/>
                </w:rPr>
                <w:t>[4]</w:t>
              </w:r>
            </w:hyperlink>
          </w:p>
        </w:tc>
      </w:tr>
      <w:tr>
        <w:trPr>
          <w:cantSplit/>
        </w:trPr>
        <w:tc>
          <w:tcPr>
            <w:tcW w:type="dxa" w:w="1944"/>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Community section</w:t>
            </w:r>
          </w:p>
        </w:tc>
        <w:tc>
          <w:tcPr>
            <w:tcW w:type="dxa" w:w="3096"/>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2026 Cool Desert Nights judge</w:t>
            </w:r>
          </w:p>
        </w:tc>
        <w:tc>
          <w:tcPr>
            <w:tcW w:type="dxa" w:w="3672"/>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Facebook post and event pages</w:t>
            </w:r>
          </w:p>
        </w:tc>
        <w:tc>
          <w:tcPr>
            <w:tcW w:type="dxa" w:w="1152"/>
            <w:tcMar>
              <w:top w:w="100" w:type="dxa"/>
              <w:start w:w="120" w:type="dxa"/>
              <w:bottom w:w="100" w:type="dxa"/>
              <w:end w:w="120" w:type="dxa"/>
            </w:tcMar>
            <w:shd w:fill="F2F4F3"/>
          </w:tcPr>
          <w:p>
            <w:pPr>
              <w:spacing w:after="0"/>
            </w:pPr>
            <w:r/>
            <w:hyperlink r:id="rId19">
              <w:r>
                <w:rPr>
                  <w:color w:val="386851"/>
                  <w:b/>
                  <w:rFonts w:ascii="Aptos" w:hAnsi="Aptos"/>
                  <w:sz w:val="20"/>
                </w:rPr>
                <w:t>[12]</w:t>
              </w:r>
            </w:hyperlink>
            <w:r>
              <w:t xml:space="preserve"> </w:t>
            </w:r>
            <w:hyperlink r:id="rId20">
              <w:r>
                <w:rPr>
                  <w:color w:val="386851"/>
                  <w:b/>
                  <w:rFonts w:ascii="Aptos" w:hAnsi="Aptos"/>
                  <w:sz w:val="20"/>
                </w:rPr>
                <w:t>[13]</w:t>
              </w:r>
            </w:hyperlink>
            <w:r>
              <w:t xml:space="preserve"> </w:t>
            </w:r>
            <w:hyperlink r:id="rId21">
              <w:r>
                <w:rPr>
                  <w:color w:val="386851"/>
                  <w:b/>
                  <w:rFonts w:ascii="Aptos" w:hAnsi="Aptos"/>
                  <w:sz w:val="20"/>
                </w:rPr>
                <w:t>[14]</w:t>
              </w:r>
            </w:hyperlink>
          </w:p>
        </w:tc>
      </w:tr>
    </w:tbl>
    <w:p>
      <w:pPr>
        <w:spacing w:after="0"/>
      </w:pPr>
    </w:p>
    <w:p>
      <w:pPr>
        <w:pStyle w:val="Heading1"/>
        <w:keepNext/>
      </w:pPr>
      <w:r>
        <w:t>Structured Data and Search Inputs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vAlign w:val="center"/>
            <w:tcMar>
              <w:top w:w="100" w:type="dxa"/>
              <w:start w:w="120" w:type="dxa"/>
              <w:bottom w:w="100" w:type="dxa"/>
              <w:end w:w="120" w:type="dxa"/>
            </w:tcMar>
            <w:shd w:fill="386851"/>
          </w:tcPr>
          <w:p>
            <w:pPr>
              <w:spacing w:after="0" w:line="240" w:lineRule="auto"/>
            </w:pPr>
            <w:r/>
            <w:r>
              <w:rPr>
                <w:rFonts w:ascii="Aptos" w:hAnsi="Aptos"/>
                <w:b/>
                <w:color w:val="FFFFFF"/>
                <w:sz w:val="18"/>
              </w:rPr>
              <w:t>Field</w:t>
            </w:r>
          </w:p>
        </w:tc>
        <w:tc>
          <w:tcPr>
            <w:tcW w:type="dxa" w:w="3528"/>
            <w:vAlign w:val="center"/>
            <w:tcMar>
              <w:top w:w="100" w:type="dxa"/>
              <w:start w:w="120" w:type="dxa"/>
              <w:bottom w:w="100" w:type="dxa"/>
              <w:end w:w="120" w:type="dxa"/>
            </w:tcMar>
            <w:shd w:fill="386851"/>
          </w:tcPr>
          <w:p>
            <w:pPr>
              <w:spacing w:after="0" w:line="240" w:lineRule="auto"/>
            </w:pPr>
            <w:r/>
            <w:r>
              <w:rPr>
                <w:rFonts w:ascii="Aptos" w:hAnsi="Aptos"/>
                <w:b/>
                <w:color w:val="FFFFFF"/>
                <w:sz w:val="18"/>
              </w:rPr>
              <w:t>Recommended Value</w:t>
            </w:r>
          </w:p>
        </w:tc>
        <w:tc>
          <w:tcPr>
            <w:tcW w:type="dxa" w:w="5328"/>
            <w:vAlign w:val="center"/>
            <w:tcMar>
              <w:top w:w="100" w:type="dxa"/>
              <w:start w:w="120" w:type="dxa"/>
              <w:bottom w:w="100" w:type="dxa"/>
              <w:end w:w="120" w:type="dxa"/>
            </w:tcMar>
            <w:shd w:fill="386851"/>
          </w:tcPr>
          <w:p>
            <w:pPr>
              <w:spacing w:after="0" w:line="240" w:lineRule="auto"/>
            </w:pPr>
            <w:r/>
            <w:r>
              <w:rPr>
                <w:rFonts w:ascii="Aptos" w:hAnsi="Aptos"/>
                <w:b/>
                <w:color w:val="FFFFFF"/>
                <w:sz w:val="18"/>
              </w:rPr>
              <w:t>Implementation Note</w:t>
            </w:r>
          </w:p>
        </w:tc>
      </w:tr>
      <w:tr>
        <w:trPr>
          <w:cantSplit/>
        </w:trPr>
        <w:tc>
          <w:tcPr>
            <w:tcW w:type="dxa" w:w="1800"/>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name</w:t>
            </w:r>
          </w:p>
        </w:tc>
        <w:tc>
          <w:tcPr>
            <w:tcW w:type="dxa" w:w="3528"/>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Jeremy Gale Thamert</w:t>
            </w:r>
          </w:p>
        </w:tc>
        <w:tc>
          <w:tcPr>
            <w:tcW w:type="dxa" w:w="5328"/>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Use full legal name in Person schema; display “Jeremy Thamert” in page copy.</w:t>
            </w:r>
          </w:p>
        </w:tc>
      </w:tr>
      <w:tr>
        <w:trPr>
          <w:cantSplit/>
        </w:trPr>
        <w:tc>
          <w:tcPr>
            <w:tcW w:type="dxa" w:w="1800"/>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jobTitle</w:t>
            </w:r>
          </w:p>
        </w:tc>
        <w:tc>
          <w:tcPr>
            <w:tcW w:type="dxa" w:w="3528"/>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Owner and President</w:t>
            </w:r>
          </w:p>
        </w:tc>
        <w:tc>
          <w:tcPr>
            <w:tcW w:type="dxa" w:w="5328"/>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Confirm preferred title before publishing.</w:t>
            </w:r>
          </w:p>
        </w:tc>
      </w:tr>
      <w:tr>
        <w:trPr>
          <w:cantSplit/>
        </w:trPr>
        <w:tc>
          <w:tcPr>
            <w:tcW w:type="dxa" w:w="1800"/>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worksFor</w:t>
            </w:r>
          </w:p>
        </w:tc>
        <w:tc>
          <w:tcPr>
            <w:tcW w:type="dxa" w:w="3528"/>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MH Construction, Inc.</w:t>
            </w:r>
          </w:p>
        </w:tc>
        <w:tc>
          <w:tcPr>
            <w:tcW w:type="dxa" w:w="5328"/>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Use Organization entity and legal business name.</w:t>
            </w:r>
          </w:p>
        </w:tc>
      </w:tr>
      <w:tr>
        <w:trPr>
          <w:cantSplit/>
        </w:trPr>
        <w:tc>
          <w:tcPr>
            <w:tcW w:type="dxa" w:w="1800"/>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alumniOf</w:t>
            </w:r>
          </w:p>
        </w:tc>
        <w:tc>
          <w:tcPr>
            <w:tcW w:type="dxa" w:w="3528"/>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[Confirm school or military school]</w:t>
            </w:r>
          </w:p>
        </w:tc>
        <w:tc>
          <w:tcPr>
            <w:tcW w:type="dxa" w:w="5328"/>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Do not publish until Jeremy supplies institution and program.</w:t>
            </w:r>
          </w:p>
        </w:tc>
      </w:tr>
      <w:tr>
        <w:trPr>
          <w:cantSplit/>
        </w:trPr>
        <w:tc>
          <w:tcPr>
            <w:tcW w:type="dxa" w:w="1800"/>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hasCredential</w:t>
            </w:r>
          </w:p>
        </w:tc>
        <w:tc>
          <w:tcPr>
            <w:tcW w:type="dxa" w:w="3528"/>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Oregon inspector and plans-examiner identifiers</w:t>
            </w:r>
          </w:p>
        </w:tc>
        <w:tc>
          <w:tcPr>
            <w:tcW w:type="dxa" w:w="5328"/>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Use only with current-status wording and official URLs.</w:t>
            </w:r>
          </w:p>
        </w:tc>
      </w:tr>
      <w:tr>
        <w:trPr>
          <w:cantSplit/>
        </w:trPr>
        <w:tc>
          <w:tcPr>
            <w:tcW w:type="dxa" w:w="1800"/>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knowsAbout</w:t>
            </w:r>
          </w:p>
        </w:tc>
        <w:tc>
          <w:tcPr>
            <w:tcW w:type="dxa" w:w="3528"/>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Commercial construction; code compliance; plans examination; renewable energy; military aviation</w:t>
            </w:r>
          </w:p>
        </w:tc>
        <w:tc>
          <w:tcPr>
            <w:tcW w:type="dxa" w:w="5328"/>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Use as subject-matter descriptors, not licensing claims.</w:t>
            </w:r>
          </w:p>
        </w:tc>
      </w:tr>
      <w:tr>
        <w:trPr>
          <w:cantSplit/>
        </w:trPr>
        <w:tc>
          <w:tcPr>
            <w:tcW w:type="dxa" w:w="1800"/>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memberOf</w:t>
            </w:r>
          </w:p>
        </w:tc>
        <w:tc>
          <w:tcPr>
            <w:tcW w:type="dxa" w:w="3528"/>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Tri-City Regional Chamber; Inland Northwest AGC</w:t>
            </w:r>
          </w:p>
        </w:tc>
        <w:tc>
          <w:tcPr>
            <w:tcW w:type="dxa" w:w="5328"/>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The directories establish company membership or contact context.</w:t>
            </w:r>
          </w:p>
        </w:tc>
      </w:tr>
      <w:tr>
        <w:trPr>
          <w:cantSplit/>
        </w:trPr>
        <w:tc>
          <w:tcPr>
            <w:tcW w:type="dxa" w:w="1800"/>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sameAs</w:t>
            </w:r>
          </w:p>
        </w:tc>
        <w:tc>
          <w:tcPr>
            <w:tcW w:type="dxa" w:w="3528"/>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[Insert approved public professional profiles]</w:t>
            </w:r>
          </w:p>
        </w:tc>
        <w:tc>
          <w:tcPr>
            <w:tcW w:type="dxa" w:w="5328"/>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Do not use personal Facebook unless Jeremy wants it connected to business schema.</w:t>
            </w:r>
          </w:p>
        </w:tc>
      </w:tr>
    </w:tbl>
    <w:p>
      <w:pPr>
        <w:spacing w:after="0"/>
      </w:pPr>
    </w:p>
    <w:p>
      <w:pPr>
        <w:pStyle w:val="Heading1"/>
        <w:keepNext/>
      </w:pPr>
      <w:r>
        <w:t>Direct Confirmation Needed Before Final Publication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vAlign w:val="center"/>
            <w:tcMar>
              <w:top w:w="100" w:type="dxa"/>
              <w:start w:w="120" w:type="dxa"/>
              <w:bottom w:w="100" w:type="dxa"/>
              <w:end w:w="120" w:type="dxa"/>
            </w:tcMar>
            <w:shd w:fill="386851"/>
          </w:tcPr>
          <w:p>
            <w:pPr>
              <w:spacing w:after="0" w:line="240" w:lineRule="auto"/>
            </w:pPr>
            <w:r/>
            <w:r>
              <w:rPr>
                <w:rFonts w:ascii="Aptos" w:hAnsi="Aptos"/>
                <w:b/>
                <w:color w:val="FFFFFF"/>
                <w:sz w:val="18"/>
              </w:rPr>
              <w:t>Topic</w:t>
            </w:r>
          </w:p>
        </w:tc>
        <w:tc>
          <w:tcPr>
            <w:tcW w:type="dxa" w:w="5400"/>
            <w:vAlign w:val="center"/>
            <w:tcMar>
              <w:top w:w="100" w:type="dxa"/>
              <w:start w:w="120" w:type="dxa"/>
              <w:bottom w:w="100" w:type="dxa"/>
              <w:end w:w="120" w:type="dxa"/>
            </w:tcMar>
            <w:shd w:fill="386851"/>
          </w:tcPr>
          <w:p>
            <w:pPr>
              <w:spacing w:after="0" w:line="240" w:lineRule="auto"/>
            </w:pPr>
            <w:r/>
            <w:r>
              <w:rPr>
                <w:rFonts w:ascii="Aptos" w:hAnsi="Aptos"/>
                <w:b/>
                <w:color w:val="FFFFFF"/>
                <w:sz w:val="18"/>
              </w:rPr>
              <w:t>Information Needed</w:t>
            </w:r>
          </w:p>
        </w:tc>
        <w:tc>
          <w:tcPr>
            <w:tcW w:type="dxa" w:w="3240"/>
            <w:vAlign w:val="center"/>
            <w:tcMar>
              <w:top w:w="100" w:type="dxa"/>
              <w:start w:w="120" w:type="dxa"/>
              <w:bottom w:w="100" w:type="dxa"/>
              <w:end w:w="120" w:type="dxa"/>
            </w:tcMar>
            <w:shd w:fill="386851"/>
          </w:tcPr>
          <w:p>
            <w:pPr>
              <w:spacing w:after="0" w:line="240" w:lineRule="auto"/>
            </w:pPr>
            <w:r/>
            <w:r>
              <w:rPr>
                <w:rFonts w:ascii="Aptos" w:hAnsi="Aptos"/>
                <w:b/>
                <w:color w:val="FFFFFF"/>
                <w:sz w:val="18"/>
              </w:rPr>
              <w:t>Preferred Evidence</w:t>
            </w:r>
          </w:p>
        </w:tc>
      </w:tr>
      <w:tr>
        <w:trPr>
          <w:cantSplit/>
        </w:trPr>
        <w:tc>
          <w:tcPr>
            <w:tcW w:type="dxa" w:w="2088"/>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MH Construction acquisition</w:t>
            </w:r>
          </w:p>
        </w:tc>
        <w:tc>
          <w:tcPr>
            <w:tcW w:type="dxa" w:w="5400"/>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Confirm whether Jeremy acquired the company in January 2025 and the preferred transaction wording.</w:t>
            </w:r>
          </w:p>
        </w:tc>
        <w:tc>
          <w:tcPr>
            <w:tcW w:type="dxa" w:w="3240"/>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Purchase or ownership record</w:t>
            </w:r>
          </w:p>
        </w:tc>
      </w:tr>
      <w:tr>
        <w:trPr>
          <w:cantSplit/>
        </w:trPr>
        <w:tc>
          <w:tcPr>
            <w:tcW w:type="dxa" w:w="2088"/>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Army details</w:t>
            </w:r>
          </w:p>
        </w:tc>
        <w:tc>
          <w:tcPr>
            <w:tcW w:type="dxa" w:w="5400"/>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Rank, component, unit, MOS, aircraft, duty locations, deployments, awards, and exact service dates.</w:t>
            </w:r>
          </w:p>
        </w:tc>
        <w:tc>
          <w:tcPr>
            <w:tcW w:type="dxa" w:w="3240"/>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DD-214, NGB-22, ERB/ORB, or approved service biography</w:t>
            </w:r>
          </w:p>
        </w:tc>
      </w:tr>
      <w:tr>
        <w:trPr>
          <w:cantSplit/>
        </w:trPr>
        <w:tc>
          <w:tcPr>
            <w:tcW w:type="dxa" w:w="2088"/>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Education</w:t>
            </w:r>
          </w:p>
        </w:tc>
        <w:tc>
          <w:tcPr>
            <w:tcW w:type="dxa" w:w="5400"/>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School, college, degree, diploma, program, dates, and graduation status.</w:t>
            </w:r>
          </w:p>
        </w:tc>
        <w:tc>
          <w:tcPr>
            <w:tcW w:type="dxa" w:w="3240"/>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Diploma, transcript, or institution record</w:t>
            </w:r>
          </w:p>
        </w:tc>
      </w:tr>
      <w:tr>
        <w:trPr>
          <w:cantSplit/>
        </w:trPr>
        <w:tc>
          <w:tcPr>
            <w:tcW w:type="dxa" w:w="2088"/>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Other certifications</w:t>
            </w:r>
          </w:p>
        </w:tc>
        <w:tc>
          <w:tcPr>
            <w:tcW w:type="dxa" w:w="5400"/>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Procore, OSHA, leadership, safety, and construction credentials with dates and IDs.</w:t>
            </w:r>
          </w:p>
        </w:tc>
        <w:tc>
          <w:tcPr>
            <w:tcW w:type="dxa" w:w="3240"/>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Issuer certificate or public badge URL</w:t>
            </w:r>
          </w:p>
        </w:tc>
      </w:tr>
      <w:tr>
        <w:trPr>
          <w:cantSplit/>
        </w:trPr>
        <w:tc>
          <w:tcPr>
            <w:tcW w:type="dxa" w:w="2088"/>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Oregon credential status</w:t>
            </w:r>
          </w:p>
        </w:tc>
        <w:tc>
          <w:tcPr>
            <w:tcW w:type="dxa" w:w="5400"/>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Current status after the June 1, 2026 code-change deadline.</w:t>
            </w:r>
          </w:p>
        </w:tc>
        <w:tc>
          <w:tcPr>
            <w:tcW w:type="dxa" w:w="3240"/>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Current Oregon license-verification result</w:t>
            </w:r>
          </w:p>
        </w:tc>
      </w:tr>
      <w:tr>
        <w:trPr>
          <w:cantSplit/>
        </w:trPr>
        <w:tc>
          <w:tcPr>
            <w:tcW w:type="dxa" w:w="2088"/>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Project portfolio</w:t>
            </w:r>
          </w:p>
        </w:tc>
        <w:tc>
          <w:tcPr>
            <w:tcW w:type="dxa" w:w="5400"/>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Projects where Jeremy had direct executive, preconstruction, estimating, or operations responsibility.</w:t>
            </w:r>
          </w:p>
        </w:tc>
        <w:tc>
          <w:tcPr>
            <w:tcW w:type="dxa" w:w="3240"/>
            <w:vAlign w:val="center"/>
            <w:tcMar>
              <w:top w:w="100" w:type="dxa"/>
              <w:start w:w="120" w:type="dxa"/>
              <w:bottom w:w="100" w:type="dxa"/>
              <w:end w:w="120" w:type="dxa"/>
            </w:tcMar>
            <w:shd w:fill="F2F4F3"/>
          </w:tcPr>
          <w:p>
            <w:pPr>
              <w:spacing w:after="0" w:line="240" w:lineRule="auto"/>
            </w:pPr>
            <w:r/>
            <w:r>
              <w:rPr>
                <w:rFonts w:ascii="Aptos" w:hAnsi="Aptos"/>
                <w:b w:val="0"/>
                <w:color w:val="202523"/>
                <w:sz w:val="17"/>
              </w:rPr>
              <w:t>Procore records, contracts, project sheets, or client approval</w:t>
            </w:r>
          </w:p>
        </w:tc>
      </w:tr>
      <w:tr>
        <w:trPr>
          <w:cantSplit/>
        </w:trPr>
        <w:tc>
          <w:tcPr>
            <w:tcW w:type="dxa" w:w="2088"/>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Personal context</w:t>
            </w:r>
          </w:p>
        </w:tc>
        <w:tc>
          <w:tcPr>
            <w:tcW w:type="dxa" w:w="5400"/>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Approval to reference family commitment, hunting, and outdoor interests.</w:t>
            </w:r>
          </w:p>
        </w:tc>
        <w:tc>
          <w:tcPr>
            <w:tcW w:type="dxa" w:w="3240"/>
            <w:vAlign w:val="center"/>
            <w:tcMar>
              <w:top w:w="100" w:type="dxa"/>
              <w:start w:w="120" w:type="dxa"/>
              <w:bottom w:w="100" w:type="dxa"/>
              <w:end w:w="120" w:type="dxa"/>
            </w:tcMar>
            <w:shd w:fill="FFFFFF"/>
          </w:tcPr>
          <w:p>
            <w:pPr>
              <w:spacing w:after="0" w:line="240" w:lineRule="auto"/>
            </w:pPr>
            <w:r/>
            <w:r>
              <w:rPr>
                <w:rFonts w:ascii="Aptos" w:hAnsi="Aptos"/>
                <w:b w:val="0"/>
                <w:color w:val="202523"/>
                <w:sz w:val="17"/>
              </w:rPr>
              <w:t>Written approval from Jeremy</w:t>
            </w:r>
          </w:p>
        </w:tc>
      </w:tr>
    </w:tbl>
    <w:p>
      <w:pPr>
        <w:spacing w:after="0"/>
      </w:pPr>
    </w:p>
    <w:p>
      <w:pPr>
        <w:pStyle w:val="Heading1"/>
        <w:keepNext/>
      </w:pPr>
      <w:r>
        <w:t>References</w:t>
      </w:r>
    </w:p>
    <w:p>
      <w:pPr>
        <w:spacing w:after="100"/>
      </w:pPr>
      <w:r>
        <w:rPr>
          <w:b/>
          <w:color w:val="386851"/>
        </w:rPr>
        <w:t xml:space="preserve">[1] </w:t>
      </w:r>
      <w:r>
        <w:t xml:space="preserve">Washington L&amp;I, MH Construction Inc. contractor detail. </w:t>
      </w:r>
      <w:hyperlink r:id="rId9">
        <w:r>
          <w:rPr>
            <w:color w:val="386851"/>
            <w:u w:val="single"/>
            <w:rFonts w:ascii="Aptos" w:hAnsi="Aptos"/>
            <w:sz w:val="20"/>
          </w:rPr>
          <w:t>https://secure.lni.wa.gov/verify/Detail.aspx?LIC=MHCONCI907R7</w:t>
        </w:r>
      </w:hyperlink>
    </w:p>
    <w:p>
      <w:pPr>
        <w:spacing w:after="100"/>
      </w:pPr>
      <w:r>
        <w:rPr>
          <w:b/>
          <w:color w:val="386851"/>
        </w:rPr>
        <w:t xml:space="preserve">[2] </w:t>
      </w:r>
      <w:r>
        <w:t xml:space="preserve">Washington L&amp;I, High Desert Drywall LLC contractor detail. </w:t>
      </w:r>
      <w:hyperlink r:id="rId22">
        <w:r>
          <w:rPr>
            <w:color w:val="386851"/>
            <w:u w:val="single"/>
            <w:rFonts w:ascii="Aptos" w:hAnsi="Aptos"/>
            <w:sz w:val="20"/>
          </w:rPr>
          <w:t>https://secure.lni.wa.gov/verify/Detail.aspx?UBI=&amp;LIC=HIGHDDD845OL&amp;SAW=</w:t>
        </w:r>
      </w:hyperlink>
    </w:p>
    <w:p>
      <w:pPr>
        <w:spacing w:after="100"/>
      </w:pPr>
      <w:r>
        <w:rPr>
          <w:b/>
          <w:color w:val="386851"/>
        </w:rPr>
        <w:t xml:space="preserve">[3] </w:t>
      </w:r>
      <w:r>
        <w:t xml:space="preserve">Tri-City Regional Chamber of Commerce, MH Construction directory listing. </w:t>
      </w:r>
      <w:hyperlink r:id="rId10">
        <w:r>
          <w:rPr>
            <w:color w:val="386851"/>
            <w:u w:val="single"/>
            <w:rFonts w:ascii="Aptos" w:hAnsi="Aptos"/>
            <w:sz w:val="20"/>
          </w:rPr>
          <w:t>https://web.tricityregionalchamber.com/Contractor-General/MH-Construction,-Inc-6318</w:t>
        </w:r>
      </w:hyperlink>
    </w:p>
    <w:p>
      <w:pPr>
        <w:spacing w:after="100"/>
      </w:pPr>
      <w:r>
        <w:rPr>
          <w:b/>
          <w:color w:val="386851"/>
        </w:rPr>
        <w:t xml:space="preserve">[4] </w:t>
      </w:r>
      <w:r>
        <w:t xml:space="preserve">Inland Northwest Associated General Contractors, MH Construction member listing. </w:t>
      </w:r>
      <w:hyperlink r:id="rId11">
        <w:r>
          <w:rPr>
            <w:color w:val="386851"/>
            <w:u w:val="single"/>
            <w:rFonts w:ascii="Aptos" w:hAnsi="Aptos"/>
            <w:sz w:val="20"/>
          </w:rPr>
          <w:t>https://business.nwagc.org/memberdirectory/Details/mh-construction-3229535</w:t>
        </w:r>
      </w:hyperlink>
    </w:p>
    <w:p>
      <w:pPr>
        <w:spacing w:after="100"/>
      </w:pPr>
      <w:r>
        <w:rPr>
          <w:b/>
          <w:color w:val="386851"/>
        </w:rPr>
        <w:t xml:space="preserve">[5] </w:t>
      </w:r>
      <w:r>
        <w:t xml:space="preserve">Baker City Herald, A soldier's special and solemn duty. </w:t>
      </w:r>
      <w:hyperlink r:id="rId12">
        <w:r>
          <w:rPr>
            <w:color w:val="386851"/>
            <w:u w:val="single"/>
            <w:rFonts w:ascii="Aptos" w:hAnsi="Aptos"/>
            <w:sz w:val="20"/>
          </w:rPr>
          <w:t>https://bakercityherald.com/2010/08/18/a-soldiers-special-and-solemn-duty/</w:t>
        </w:r>
      </w:hyperlink>
    </w:p>
    <w:p>
      <w:pPr>
        <w:spacing w:after="100"/>
      </w:pPr>
      <w:r>
        <w:rPr>
          <w:b/>
          <w:color w:val="386851"/>
        </w:rPr>
        <w:t xml:space="preserve">[6] </w:t>
      </w:r>
      <w:r>
        <w:t xml:space="preserve">Washington DES, WEBS Vendor Search. </w:t>
      </w:r>
      <w:hyperlink r:id="rId13">
        <w:r>
          <w:rPr>
            <w:color w:val="386851"/>
            <w:u w:val="single"/>
            <w:rFonts w:ascii="Aptos" w:hAnsi="Aptos"/>
            <w:sz w:val="20"/>
          </w:rPr>
          <w:t>https://pr-webs-vendor.des.wa.gov/VendorSearch.aspx</w:t>
        </w:r>
      </w:hyperlink>
    </w:p>
    <w:p>
      <w:pPr>
        <w:spacing w:after="100"/>
      </w:pPr>
      <w:r>
        <w:rPr>
          <w:b/>
          <w:color w:val="386851"/>
        </w:rPr>
        <w:t xml:space="preserve">[7] </w:t>
      </w:r>
      <w:r>
        <w:t xml:space="preserve">Washington Department of Veterans Affairs, Veteran Owned Businesses. </w:t>
      </w:r>
      <w:hyperlink r:id="rId14">
        <w:r>
          <w:rPr>
            <w:color w:val="386851"/>
            <w:u w:val="single"/>
            <w:rFonts w:ascii="Aptos" w:hAnsi="Aptos"/>
            <w:sz w:val="20"/>
          </w:rPr>
          <w:t>https://dva.wa.gov/veterans-service-members-and-their-families/veteran-owned-businesses</w:t>
        </w:r>
      </w:hyperlink>
    </w:p>
    <w:p>
      <w:pPr>
        <w:spacing w:after="100"/>
      </w:pPr>
      <w:r>
        <w:rPr>
          <w:b/>
          <w:color w:val="386851"/>
        </w:rPr>
        <w:t xml:space="preserve">[8] </w:t>
      </w:r>
      <w:r>
        <w:t xml:space="preserve">La Grande Observer, Everyone knows it's windy. </w:t>
      </w:r>
      <w:hyperlink r:id="rId15">
        <w:r>
          <w:rPr>
            <w:color w:val="386851"/>
            <w:u w:val="single"/>
            <w:rFonts w:ascii="Aptos" w:hAnsi="Aptos"/>
            <w:sz w:val="20"/>
          </w:rPr>
          <w:t>https://lagrandeobserver.com/2008/10/15/everyone-knows-its-windy/</w:t>
        </w:r>
      </w:hyperlink>
    </w:p>
    <w:p>
      <w:pPr>
        <w:spacing w:after="100"/>
      </w:pPr>
      <w:r>
        <w:rPr>
          <w:b/>
          <w:color w:val="386851"/>
        </w:rPr>
        <w:t xml:space="preserve">[9] </w:t>
      </w:r>
      <w:r>
        <w:t xml:space="preserve">Oregon BCD, 2025 Commercial Code Change Tracking. </w:t>
      </w:r>
      <w:hyperlink r:id="rId16">
        <w:r>
          <w:rPr>
            <w:color w:val="386851"/>
            <w:u w:val="single"/>
            <w:rFonts w:ascii="Aptos" w:hAnsi="Aptos"/>
            <w:sz w:val="20"/>
          </w:rPr>
          <w:t>https://www.oregon.gov/bcd/inspector-training/Documents/2025-code-change/2025-code-change-tracking.pdf</w:t>
        </w:r>
      </w:hyperlink>
    </w:p>
    <w:p>
      <w:pPr>
        <w:spacing w:after="100"/>
      </w:pPr>
      <w:r>
        <w:rPr>
          <w:b/>
          <w:color w:val="386851"/>
        </w:rPr>
        <w:t xml:space="preserve">[10] </w:t>
      </w:r>
      <w:r>
        <w:t xml:space="preserve">Oregon BCD, Certification Manual. </w:t>
      </w:r>
      <w:hyperlink r:id="rId17">
        <w:r>
          <w:rPr>
            <w:color w:val="386851"/>
            <w:u w:val="single"/>
            <w:rFonts w:ascii="Aptos" w:hAnsi="Aptos"/>
            <w:sz w:val="20"/>
          </w:rPr>
          <w:t>https://www.oregon.gov/bcd/inspector-certs/Documents/Certmanual.pdf</w:t>
        </w:r>
      </w:hyperlink>
    </w:p>
    <w:p>
      <w:pPr>
        <w:spacing w:after="100"/>
      </w:pPr>
      <w:r>
        <w:rPr>
          <w:b/>
          <w:color w:val="386851"/>
        </w:rPr>
        <w:t xml:space="preserve">[11] </w:t>
      </w:r>
      <w:r>
        <w:t xml:space="preserve">Oregon BCD, Code Change Training and Self-Certification. </w:t>
      </w:r>
      <w:hyperlink r:id="rId18">
        <w:r>
          <w:rPr>
            <w:color w:val="386851"/>
            <w:u w:val="single"/>
            <w:rFonts w:ascii="Aptos" w:hAnsi="Aptos"/>
            <w:sz w:val="20"/>
          </w:rPr>
          <w:t>https://www.oregon.gov/bcd/inspector-training/pages/code-change-reg.aspx</w:t>
        </w:r>
      </w:hyperlink>
    </w:p>
    <w:p>
      <w:pPr>
        <w:spacing w:after="100"/>
      </w:pPr>
      <w:r>
        <w:rPr>
          <w:b/>
          <w:color w:val="386851"/>
        </w:rPr>
        <w:t xml:space="preserve">[12] </w:t>
      </w:r>
      <w:r>
        <w:t xml:space="preserve">Richland Chamber Facebook post thanking MH Construction. </w:t>
      </w:r>
      <w:hyperlink r:id="rId19">
        <w:r>
          <w:rPr>
            <w:color w:val="386851"/>
            <w:u w:val="single"/>
            <w:rFonts w:ascii="Aptos" w:hAnsi="Aptos"/>
            <w:sz w:val="20"/>
          </w:rPr>
          <w:t>https://www.facebook.com/61550016725507/posts/thank-you-mh-construction/122360613314000557/</w:t>
        </w:r>
      </w:hyperlink>
    </w:p>
    <w:p>
      <w:pPr>
        <w:spacing w:after="100"/>
      </w:pPr>
      <w:r>
        <w:rPr>
          <w:b/>
          <w:color w:val="386851"/>
        </w:rPr>
        <w:t xml:space="preserve">[13] </w:t>
      </w:r>
      <w:r>
        <w:t xml:space="preserve">Richland Chamber, Cool Desert Nights. </w:t>
      </w:r>
      <w:hyperlink r:id="rId20">
        <w:r>
          <w:rPr>
            <w:color w:val="386851"/>
            <w:u w:val="single"/>
            <w:rFonts w:ascii="Aptos" w:hAnsi="Aptos"/>
            <w:sz w:val="20"/>
          </w:rPr>
          <w:t>https://www.richlandchamber.org/cool-desert-nights</w:t>
        </w:r>
      </w:hyperlink>
    </w:p>
    <w:p>
      <w:pPr>
        <w:spacing w:after="100"/>
      </w:pPr>
      <w:r>
        <w:rPr>
          <w:b/>
          <w:color w:val="386851"/>
        </w:rPr>
        <w:t xml:space="preserve">[14] </w:t>
      </w:r>
      <w:r>
        <w:t xml:space="preserve">Pacific Northwest BBQ Association, Cool Desert Nights event. </w:t>
      </w:r>
      <w:hyperlink r:id="rId21">
        <w:r>
          <w:rPr>
            <w:color w:val="386851"/>
            <w:u w:val="single"/>
            <w:rFonts w:ascii="Aptos" w:hAnsi="Aptos"/>
            <w:sz w:val="20"/>
          </w:rPr>
          <w:t>https://pnwba.com/event-6666551</w:t>
        </w:r>
      </w:hyperlink>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25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86851"/>
      <w:sz w:val="3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25332D"/>
      <w:sz w:val="28"/>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b/>
      <w:bCs/>
      <w:color w:val="BD92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8685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E696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cure.lni.wa.gov/verify/Detail.aspx?LIC=MHCONCI907R7" TargetMode="External"/><Relationship Id="rId10" Type="http://schemas.openxmlformats.org/officeDocument/2006/relationships/hyperlink" Target="https://web.tricityregionalchamber.com/Contractor-General/MH-Construction,-Inc-6318" TargetMode="External"/><Relationship Id="rId11" Type="http://schemas.openxmlformats.org/officeDocument/2006/relationships/hyperlink" Target="https://business.nwagc.org/memberdirectory/Details/mh-construction-3229535" TargetMode="External"/><Relationship Id="rId12" Type="http://schemas.openxmlformats.org/officeDocument/2006/relationships/hyperlink" Target="https://bakercityherald.com/2010/08/18/a-soldiers-special-and-solemn-duty/" TargetMode="External"/><Relationship Id="rId13" Type="http://schemas.openxmlformats.org/officeDocument/2006/relationships/hyperlink" Target="https://pr-webs-vendor.des.wa.gov/VendorSearch.aspx" TargetMode="External"/><Relationship Id="rId14" Type="http://schemas.openxmlformats.org/officeDocument/2006/relationships/hyperlink" Target="https://dva.wa.gov/veterans-service-members-and-their-families/veteran-owned-businesses" TargetMode="External"/><Relationship Id="rId15" Type="http://schemas.openxmlformats.org/officeDocument/2006/relationships/hyperlink" Target="https://lagrandeobserver.com/2008/10/15/everyone-knows-its-windy/" TargetMode="External"/><Relationship Id="rId16" Type="http://schemas.openxmlformats.org/officeDocument/2006/relationships/hyperlink" Target="https://www.oregon.gov/bcd/inspector-training/Documents/2025-code-change/2025-code-change-tracking.pdf" TargetMode="External"/><Relationship Id="rId17" Type="http://schemas.openxmlformats.org/officeDocument/2006/relationships/hyperlink" Target="https://www.oregon.gov/bcd/inspector-certs/Documents/Certmanual.pdf" TargetMode="External"/><Relationship Id="rId18" Type="http://schemas.openxmlformats.org/officeDocument/2006/relationships/hyperlink" Target="https://www.oregon.gov/bcd/inspector-training/pages/code-change-reg.aspx" TargetMode="External"/><Relationship Id="rId19" Type="http://schemas.openxmlformats.org/officeDocument/2006/relationships/hyperlink" Target="https://www.facebook.com/61550016725507/posts/thank-you-mh-construction/122360613314000557/" TargetMode="External"/><Relationship Id="rId20" Type="http://schemas.openxmlformats.org/officeDocument/2006/relationships/hyperlink" Target="https://www.richlandchamber.org/cool-desert-nights" TargetMode="External"/><Relationship Id="rId21" Type="http://schemas.openxmlformats.org/officeDocument/2006/relationships/hyperlink" Target="https://pnwba.com/event-6666551" TargetMode="External"/><Relationship Id="rId22" Type="http://schemas.openxmlformats.org/officeDocument/2006/relationships/hyperlink" Target="https://secure.lni.wa.gov/verify/Detail.aspx?UBI=&amp;LIC=HIGHDDD845OL&amp;SA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Jeremy Gale Thamert Website Biography and References</dc:title>
  <dc:subject>Website biography, structured facts, publication controls, and source links</dc:subject>
  <dc:creator>Manus AI</dc:creator>
  <cp:keywords>Jeremy Thamert, MH Construction, Army veteran, construction, biography, references</cp:keywords>
  <dc:description>Prepared for website content deployment on July 15, 2026.</dc:description>
  <cp:lastModifiedBy/>
  <cp:revision>1</cp:revision>
  <dcterms:created xsi:type="dcterms:W3CDTF">2013-12-23T23:15:00Z</dcterms:created>
  <dcterms:modified xsi:type="dcterms:W3CDTF">2013-12-23T23:15:00Z</dcterms:modified>
  <cp:category/>
</cp:coreProperties>
</file>