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MH CONSTRUCTION, INC.</w:t>
      </w:r>
    </w:p>
    <w:p>
      <w:r>
        <w:t>Industrial Safety &amp; Health Program (MISH)</w:t>
      </w:r>
    </w:p>
    <w:p>
      <w:r>
        <w:rPr>
          <w:b/>
        </w:rPr>
        <w:t>MISH 02 | Drug Free Work Place</w:t>
      </w:r>
    </w:p>
    <w:p>
      <w:r>
        <w:t>Revision 3 | Effective: 04/07/2026 | Safety Officer: Matt Ramsey</w:t>
      </w:r>
    </w:p>
    <w:p>
      <w:pPr>
        <w:pBdr>
          <w:bottom w:val="single" w:sz="6" w:space="1" w:color="auto"/>
        </w:pBdr>
      </w:pPr>
    </w:p>
    <w:p>
      <w:pPr>
        <w:pStyle w:val="Heading1"/>
      </w:pPr>
      <w:r>
        <w:t>1. Regulatory Authority</w:t>
      </w:r>
    </w:p>
    <w:tbl>
      <w:tblPr>
        <w:tblStyle w:val="TableGrid"/>
        <w:tblW w:type="auto" w:w="0"/>
        <w:tblLook w:firstColumn="1" w:firstRow="1" w:lastColumn="0" w:lastRow="0" w:noHBand="0" w:noVBand="1" w:val="04A0"/>
      </w:tblPr>
      <w:tblGrid>
        <w:gridCol w:w="3000"/>
        <w:gridCol w:w="3000"/>
        <w:gridCol w:w="3000"/>
      </w:tblGrid>
      <w:tr>
        <w:tc>
          <w:tcPr>
            <w:tcW w:type="dxa" w:w="3000"/>
            <w:tcMar>
              <w:top w:w="50" w:type="dxa"/>
              <w:start w:w="50" w:type="dxa"/>
              <w:bottom w:w="50" w:type="dxa"/>
              <w:end w:w="50" w:type="dxa"/>
            </w:tcMar>
          </w:tcPr>
          <w:p>
            <w:r>
              <w:rPr>
                <w:b/>
              </w:rPr>
              <w:t>Authority</w:t>
            </w:r>
          </w:p>
        </w:tc>
        <w:tc>
          <w:tcPr>
            <w:tcW w:type="dxa" w:w="3000"/>
            <w:tcMar>
              <w:top w:w="50" w:type="dxa"/>
              <w:start w:w="50" w:type="dxa"/>
              <w:bottom w:w="50" w:type="dxa"/>
              <w:end w:w="50" w:type="dxa"/>
            </w:tcMar>
          </w:tcPr>
          <w:p>
            <w:r>
              <w:rPr>
                <w:b/>
              </w:rPr>
              <w:t>Citation</w:t>
            </w:r>
          </w:p>
        </w:tc>
        <w:tc>
          <w:tcPr>
            <w:tcW w:type="dxa" w:w="3000"/>
            <w:tcMar>
              <w:top w:w="50" w:type="dxa"/>
              <w:start w:w="50" w:type="dxa"/>
              <w:bottom w:w="50" w:type="dxa"/>
              <w:end w:w="50" w:type="dxa"/>
            </w:tcMar>
          </w:tcPr>
          <w:p>
            <w:r>
              <w:rPr>
                <w:b/>
              </w:rPr>
              <w:t>Title/Description</w:t>
            </w:r>
          </w:p>
        </w:tc>
      </w:tr>
      <w:tr>
        <w:tc>
          <w:tcPr>
            <w:tcW w:type="dxa" w:w="3000"/>
            <w:tcMar>
              <w:top w:w="50" w:type="dxa"/>
              <w:start w:w="50" w:type="dxa"/>
              <w:bottom w:w="50" w:type="dxa"/>
              <w:end w:w="50" w:type="dxa"/>
            </w:tcMar>
          </w:tcPr>
          <w:p>
            <w:r>
              <w:t>OSHA</w:t>
            </w:r>
          </w:p>
        </w:tc>
        <w:tc>
          <w:tcPr>
            <w:tcW w:type="dxa" w:w="3000"/>
            <w:tcMar>
              <w:top w:w="50" w:type="dxa"/>
              <w:start w:w="50" w:type="dxa"/>
              <w:bottom w:w="50" w:type="dxa"/>
              <w:end w:w="50" w:type="dxa"/>
            </w:tcMar>
          </w:tcPr>
          <w:p>
            <w:r>
              <w:t>29 CFR</w:t>
            </w:r>
          </w:p>
        </w:tc>
        <w:tc>
          <w:tcPr>
            <w:tcW w:type="dxa" w:w="3000"/>
            <w:tcMar>
              <w:top w:w="50" w:type="dxa"/>
              <w:start w:w="50" w:type="dxa"/>
              <w:bottom w:w="50" w:type="dxa"/>
              <w:end w:w="50" w:type="dxa"/>
            </w:tcMar>
          </w:tcPr>
          <w:p>
            <w:r>
              <w:t>1926.20(b)</w:t>
            </w:r>
          </w:p>
        </w:tc>
      </w:tr>
      <w:tr>
        <w:tc>
          <w:tcPr>
            <w:tcW w:type="dxa" w:w="3000"/>
            <w:tcMar>
              <w:top w:w="50" w:type="dxa"/>
              <w:start w:w="50" w:type="dxa"/>
              <w:bottom w:w="50" w:type="dxa"/>
              <w:end w:w="50" w:type="dxa"/>
            </w:tcMar>
          </w:tcPr>
          <w:p>
            <w:r>
              <w:t>OSHA</w:t>
            </w:r>
          </w:p>
        </w:tc>
        <w:tc>
          <w:tcPr>
            <w:tcW w:type="dxa" w:w="3000"/>
            <w:tcMar>
              <w:top w:w="50" w:type="dxa"/>
              <w:start w:w="50" w:type="dxa"/>
              <w:bottom w:w="50" w:type="dxa"/>
              <w:end w:w="50" w:type="dxa"/>
            </w:tcMar>
          </w:tcPr>
          <w:p>
            <w:r>
              <w:t>Drug-Free Workplace Act 41 U.S.C. 8101-8106</w:t>
            </w:r>
          </w:p>
        </w:tc>
        <w:tc>
          <w:tcPr>
            <w:tcW w:type="dxa" w:w="3000"/>
            <w:tcMar>
              <w:top w:w="50" w:type="dxa"/>
              <w:start w:w="50" w:type="dxa"/>
              <w:bottom w:w="50" w:type="dxa"/>
              <w:end w:w="50" w:type="dxa"/>
            </w:tcMar>
          </w:tcPr>
          <w:p>
            <w:r>
              <w:t>Drug-Free Workplace Act</w:t>
            </w:r>
          </w:p>
        </w:tc>
      </w:tr>
      <w:tr>
        <w:tc>
          <w:tcPr>
            <w:tcW w:type="dxa" w:w="3000"/>
            <w:tcMar>
              <w:top w:w="50" w:type="dxa"/>
              <w:start w:w="50" w:type="dxa"/>
              <w:bottom w:w="50" w:type="dxa"/>
              <w:end w:w="50" w:type="dxa"/>
            </w:tcMar>
          </w:tcPr>
          <w:p>
            <w:r>
              <w:t>OSHA</w:t>
            </w:r>
          </w:p>
        </w:tc>
        <w:tc>
          <w:tcPr>
            <w:tcW w:type="dxa" w:w="3000"/>
            <w:tcMar>
              <w:top w:w="50" w:type="dxa"/>
              <w:start w:w="50" w:type="dxa"/>
              <w:bottom w:w="50" w:type="dxa"/>
              <w:end w:w="50" w:type="dxa"/>
            </w:tcMar>
          </w:tcPr>
          <w:p>
            <w:r>
              <w:t>DOT 49 CFR Part 40</w:t>
            </w:r>
          </w:p>
        </w:tc>
        <w:tc>
          <w:tcPr>
            <w:tcW w:type="dxa" w:w="3000"/>
            <w:tcMar>
              <w:top w:w="50" w:type="dxa"/>
              <w:start w:w="50" w:type="dxa"/>
              <w:bottom w:w="50" w:type="dxa"/>
              <w:end w:w="50" w:type="dxa"/>
            </w:tcMar>
          </w:tcPr>
          <w:p>
            <w:r>
              <w:t>Department of Transportation</w:t>
            </w:r>
          </w:p>
        </w:tc>
      </w:tr>
      <w:tr>
        <w:tc>
          <w:tcPr>
            <w:tcW w:type="dxa" w:w="3000"/>
            <w:tcMar>
              <w:top w:w="50" w:type="dxa"/>
              <w:start w:w="50" w:type="dxa"/>
              <w:bottom w:w="50" w:type="dxa"/>
              <w:end w:w="50" w:type="dxa"/>
            </w:tcMar>
          </w:tcPr>
          <w:p>
            <w:r>
              <w:t>WISHA</w:t>
            </w:r>
          </w:p>
        </w:tc>
        <w:tc>
          <w:tcPr>
            <w:tcW w:type="dxa" w:w="3000"/>
            <w:tcMar>
              <w:top w:w="50" w:type="dxa"/>
              <w:start w:w="50" w:type="dxa"/>
              <w:bottom w:w="50" w:type="dxa"/>
              <w:end w:w="50" w:type="dxa"/>
            </w:tcMar>
          </w:tcPr>
          <w:p>
            <w:r>
              <w:t>WAC 296-155-110</w:t>
            </w:r>
          </w:p>
        </w:tc>
        <w:tc>
          <w:tcPr>
            <w:tcW w:type="dxa" w:w="3000"/>
            <w:tcMar>
              <w:top w:w="50" w:type="dxa"/>
              <w:start w:w="50" w:type="dxa"/>
              <w:bottom w:w="50" w:type="dxa"/>
              <w:end w:w="50" w:type="dxa"/>
            </w:tcMar>
          </w:tcPr>
          <w:p>
            <w:r>
              <w:t>Accident Prevention Program</w:t>
            </w:r>
          </w:p>
        </w:tc>
      </w:tr>
      <w:tr>
        <w:tc>
          <w:tcPr>
            <w:tcW w:type="dxa" w:w="3000"/>
            <w:tcMar>
              <w:top w:w="50" w:type="dxa"/>
              <w:start w:w="50" w:type="dxa"/>
              <w:bottom w:w="50" w:type="dxa"/>
              <w:end w:w="50" w:type="dxa"/>
            </w:tcMar>
          </w:tcPr>
          <w:p>
            <w:r>
              <w:t>WISHA</w:t>
            </w:r>
          </w:p>
        </w:tc>
        <w:tc>
          <w:tcPr>
            <w:tcW w:type="dxa" w:w="3000"/>
            <w:tcMar>
              <w:top w:w="50" w:type="dxa"/>
              <w:start w:w="50" w:type="dxa"/>
              <w:bottom w:w="50" w:type="dxa"/>
              <w:end w:w="50" w:type="dxa"/>
            </w:tcMar>
          </w:tcPr>
          <w:p>
            <w:r>
              <w:t>WAC 296-800-11035</w:t>
            </w:r>
          </w:p>
        </w:tc>
        <w:tc>
          <w:tcPr>
            <w:tcW w:type="dxa" w:w="3000"/>
            <w:tcMar>
              <w:top w:w="50" w:type="dxa"/>
              <w:start w:w="50" w:type="dxa"/>
              <w:bottom w:w="50" w:type="dxa"/>
              <w:end w:w="50" w:type="dxa"/>
            </w:tcMar>
          </w:tcPr>
          <w:p>
            <w:r>
              <w:t>Drug-Free Workplace</w:t>
            </w:r>
          </w:p>
        </w:tc>
      </w:tr>
      <w:tr>
        <w:tc>
          <w:tcPr>
            <w:tcW w:type="dxa" w:w="3000"/>
            <w:tcMar>
              <w:top w:w="50" w:type="dxa"/>
              <w:start w:w="50" w:type="dxa"/>
              <w:bottom w:w="50" w:type="dxa"/>
              <w:end w:w="50" w:type="dxa"/>
            </w:tcMar>
          </w:tcPr>
          <w:p>
            <w:r>
              <w:t>AGC</w:t>
            </w:r>
          </w:p>
        </w:tc>
        <w:tc>
          <w:tcPr>
            <w:tcW w:type="dxa" w:w="3000"/>
            <w:tcMar>
              <w:top w:w="50" w:type="dxa"/>
              <w:start w:w="50" w:type="dxa"/>
              <w:bottom w:w="50" w:type="dxa"/>
              <w:end w:w="50" w:type="dxa"/>
            </w:tcMar>
          </w:tcPr>
          <w:p>
            <w:r>
              <w:t>Safety and Health Manual Ch. 2</w:t>
            </w:r>
          </w:p>
        </w:tc>
        <w:tc>
          <w:tcPr>
            <w:tcW w:type="dxa" w:w="3000"/>
            <w:tcMar>
              <w:top w:w="50" w:type="dxa"/>
              <w:start w:w="50" w:type="dxa"/>
              <w:bottom w:w="50" w:type="dxa"/>
              <w:end w:w="50" w:type="dxa"/>
            </w:tcMar>
          </w:tcPr>
          <w:p>
            <w:r>
              <w:t>Safety and Health Manual</w:t>
            </w:r>
          </w:p>
        </w:tc>
      </w:tr>
    </w:tbl>
    <w:p>
      <w:pPr>
        <w:pStyle w:val="Heading1"/>
      </w:pPr>
      <w:r>
        <w:t>2. Purpose</w:t>
      </w:r>
    </w:p>
    <w:p>
      <w:r>
        <w:t>This policy establishes a clear stance against drug and alcohol abuse to ensure a safe and productive work environment. It aims to protect all employees, subcontractors, and visitors from hazards associated with impaired judgment and performance. By implementing this policy, MH Construction, Inc. mitigates risks, maintains operational integrity, and complies with federal and state regulations.</w:t>
      </w:r>
    </w:p>
    <w:p>
      <w:pPr>
        <w:pStyle w:val="Heading1"/>
      </w:pPr>
      <w:r>
        <w:t>3. Scope</w:t>
      </w:r>
    </w:p>
    <w:p>
      <w:r>
        <w:t>This policy applies to all MH Construction, Inc. employees, subcontractors, and visitors while on any MH Construction job site, company property, or operating company vehicles or equipment. Adherence is mandatory for all personnel engaged in company operations.</w:t>
      </w:r>
    </w:p>
    <w:p>
      <w:pPr>
        <w:pStyle w:val="Heading1"/>
      </w:pPr>
      <w:r>
        <w:t>4. Definitions</w:t>
      </w:r>
    </w:p>
    <w:tbl>
      <w:tblPr>
        <w:tblStyle w:val="TableGrid"/>
        <w:tblW w:type="auto" w:w="0"/>
        <w:tblLook w:firstColumn="1" w:firstRow="1" w:lastColumn="0" w:lastRow="0" w:noHBand="0" w:noVBand="1" w:val="04A0"/>
      </w:tblPr>
      <w:tblGrid>
        <w:gridCol w:w="4500"/>
        <w:gridCol w:w="4500"/>
      </w:tblGrid>
      <w:tr>
        <w:tc>
          <w:tcPr>
            <w:tcW w:type="dxa" w:w="4500"/>
            <w:tcMar>
              <w:top w:w="50" w:type="dxa"/>
              <w:start w:w="50" w:type="dxa"/>
              <w:bottom w:w="50" w:type="dxa"/>
              <w:end w:w="50" w:type="dxa"/>
            </w:tcMar>
          </w:tcPr>
          <w:p>
            <w:r>
              <w:rPr>
                <w:b/>
              </w:rPr>
              <w:t>Term</w:t>
            </w:r>
          </w:p>
        </w:tc>
        <w:tc>
          <w:tcPr>
            <w:tcW w:type="dxa" w:w="4500"/>
            <w:tcMar>
              <w:top w:w="50" w:type="dxa"/>
              <w:start w:w="50" w:type="dxa"/>
              <w:bottom w:w="50" w:type="dxa"/>
              <w:end w:w="50" w:type="dxa"/>
            </w:tcMar>
          </w:tcPr>
          <w:p>
            <w:r>
              <w:rPr>
                <w:b/>
              </w:rPr>
              <w:t>Definition</w:t>
            </w:r>
          </w:p>
        </w:tc>
      </w:tr>
      <w:tr>
        <w:tc>
          <w:tcPr>
            <w:tcW w:type="dxa" w:w="4500"/>
            <w:tcMar>
              <w:top w:w="50" w:type="dxa"/>
              <w:start w:w="50" w:type="dxa"/>
              <w:bottom w:w="50" w:type="dxa"/>
              <w:end w:w="50" w:type="dxa"/>
            </w:tcMar>
          </w:tcPr>
          <w:p>
            <w:r>
              <w:t>Drug-Free Workplace</w:t>
            </w:r>
          </w:p>
        </w:tc>
        <w:tc>
          <w:tcPr>
            <w:tcW w:type="dxa" w:w="4500"/>
            <w:tcMar>
              <w:top w:w="50" w:type="dxa"/>
              <w:start w:w="50" w:type="dxa"/>
              <w:bottom w:w="50" w:type="dxa"/>
              <w:end w:w="50" w:type="dxa"/>
            </w:tcMar>
          </w:tcPr>
          <w:p>
            <w:r>
              <w:t>A work environment where the unlawful manufacture, distribution, dispensation, possession, or use of a controlled substance is prohibited.</w:t>
            </w:r>
          </w:p>
        </w:tc>
      </w:tr>
      <w:tr>
        <w:tc>
          <w:tcPr>
            <w:tcW w:type="dxa" w:w="4500"/>
            <w:tcMar>
              <w:top w:w="50" w:type="dxa"/>
              <w:start w:w="50" w:type="dxa"/>
              <w:bottom w:w="50" w:type="dxa"/>
              <w:end w:w="50" w:type="dxa"/>
            </w:tcMar>
          </w:tcPr>
          <w:p>
            <w:r>
              <w:t>Controlled Substance</w:t>
            </w:r>
          </w:p>
        </w:tc>
        <w:tc>
          <w:tcPr>
            <w:tcW w:type="dxa" w:w="4500"/>
            <w:tcMar>
              <w:top w:w="50" w:type="dxa"/>
              <w:start w:w="50" w:type="dxa"/>
              <w:bottom w:w="50" w:type="dxa"/>
              <w:end w:w="50" w:type="dxa"/>
            </w:tcMar>
          </w:tcPr>
          <w:p>
            <w:r>
              <w:t>A drug or chemical whose manufacture, possession, or use is regulated by the government under the Controlled Substances Act.</w:t>
            </w:r>
          </w:p>
        </w:tc>
      </w:tr>
      <w:tr>
        <w:tc>
          <w:tcPr>
            <w:tcW w:type="dxa" w:w="4500"/>
            <w:tcMar>
              <w:top w:w="50" w:type="dxa"/>
              <w:start w:w="50" w:type="dxa"/>
              <w:bottom w:w="50" w:type="dxa"/>
              <w:end w:w="50" w:type="dxa"/>
            </w:tcMar>
          </w:tcPr>
          <w:p>
            <w:r>
              <w:t>Impairment</w:t>
            </w:r>
          </w:p>
        </w:tc>
        <w:tc>
          <w:tcPr>
            <w:tcW w:type="dxa" w:w="4500"/>
            <w:tcMar>
              <w:top w:w="50" w:type="dxa"/>
              <w:start w:w="50" w:type="dxa"/>
              <w:bottom w:w="50" w:type="dxa"/>
              <w:end w:w="50" w:type="dxa"/>
            </w:tcMar>
          </w:tcPr>
          <w:p>
            <w:r>
              <w:t>A state in which an individual’s ability to perform job functions safely and effectively is diminished due to the influence of drugs or alcohol.</w:t>
            </w:r>
          </w:p>
        </w:tc>
      </w:tr>
      <w:tr>
        <w:tc>
          <w:tcPr>
            <w:tcW w:type="dxa" w:w="4500"/>
            <w:tcMar>
              <w:top w:w="50" w:type="dxa"/>
              <w:start w:w="50" w:type="dxa"/>
              <w:bottom w:w="50" w:type="dxa"/>
              <w:end w:w="50" w:type="dxa"/>
            </w:tcMar>
          </w:tcPr>
          <w:p>
            <w:r>
              <w:t>Reasonable Suspicion</w:t>
            </w:r>
          </w:p>
        </w:tc>
        <w:tc>
          <w:tcPr>
            <w:tcW w:type="dxa" w:w="4500"/>
            <w:tcMar>
              <w:top w:w="50" w:type="dxa"/>
              <w:start w:w="50" w:type="dxa"/>
              <w:bottom w:w="50" w:type="dxa"/>
              <w:end w:w="50" w:type="dxa"/>
            </w:tcMar>
          </w:tcPr>
          <w:p>
            <w:r>
              <w:t>Belief based on specific, articulable facts and reasonable inferences drawn from those facts that an employee is under the influence of drugs or alcohol.</w:t>
            </w:r>
          </w:p>
        </w:tc>
      </w:tr>
      <w:tr>
        <w:tc>
          <w:tcPr>
            <w:tcW w:type="dxa" w:w="4500"/>
            <w:tcMar>
              <w:top w:w="50" w:type="dxa"/>
              <w:start w:w="50" w:type="dxa"/>
              <w:bottom w:w="50" w:type="dxa"/>
              <w:end w:w="50" w:type="dxa"/>
            </w:tcMar>
          </w:tcPr>
          <w:p>
            <w:r>
              <w:t>Safety-Sensitive Position</w:t>
            </w:r>
          </w:p>
        </w:tc>
        <w:tc>
          <w:tcPr>
            <w:tcW w:type="dxa" w:w="4500"/>
            <w:tcMar>
              <w:top w:w="50" w:type="dxa"/>
              <w:start w:w="50" w:type="dxa"/>
              <w:bottom w:w="50" w:type="dxa"/>
              <w:end w:w="50" w:type="dxa"/>
            </w:tcMar>
          </w:tcPr>
          <w:p>
            <w:r>
              <w:t>Any position where a lapse in judgment or inattentiveness could result in injury, death, or significant property damage.</w:t>
            </w:r>
          </w:p>
        </w:tc>
      </w:tr>
    </w:tbl>
    <w:p>
      <w:pPr>
        <w:pStyle w:val="Heading1"/>
      </w:pPr>
      <w:r>
        <w:t>5. Responsibilities</w:t>
      </w:r>
    </w:p>
    <w:p>
      <w:pPr>
        <w:pStyle w:val="Heading2"/>
      </w:pPr>
      <w:r>
        <w:t>5.1 Company/Management Responsibilities</w:t>
      </w:r>
    </w:p>
    <w:p>
      <w:pPr>
        <w:pStyle w:val="ListBullet"/>
      </w:pPr>
      <w:r>
        <w:t>- Establish, implement, and maintain a comprehensive Drug-Free Workplace Policy.</w:t>
        <w:br/>
        <w:t>- Provide training and education on the policy to all employees and supervisors.</w:t>
        <w:br/>
        <w:t>- Ensure compliance with all federal, state, and local drug and alcohol testing regulations.</w:t>
        <w:br/>
        <w:t>- Provide resources for employee assistance programs (EAP) for substance abuse.</w:t>
        <w:br/>
        <w:t>- Conduct investigations into alleged violations of this policy.</w:t>
        <w:br/>
        <w:t xml:space="preserve">        </w:t>
      </w:r>
    </w:p>
    <w:p>
      <w:pPr>
        <w:pStyle w:val="Heading2"/>
      </w:pPr>
      <w:r>
        <w:t>5.2 Supervisor/Foreman Responsibilities</w:t>
      </w:r>
    </w:p>
    <w:p>
      <w:pPr>
        <w:pStyle w:val="ListBullet"/>
      </w:pPr>
      <w:r>
        <w:t>- Enforce the Drug-Free Workplace Policy consistently and fairly.</w:t>
        <w:br/>
        <w:t>- Observe and document behaviors that may indicate drug or alcohol use.</w:t>
        <w:br/>
        <w:t>- Initiate reasonable suspicion testing procedures when appropriate.</w:t>
        <w:br/>
        <w:t>- Ensure employees under their supervision receive required training.</w:t>
        <w:br/>
        <w:t>- Maintain confidentiality regarding all drug and alcohol-related incidents.</w:t>
        <w:br/>
        <w:t xml:space="preserve">        </w:t>
      </w:r>
    </w:p>
    <w:p>
      <w:pPr>
        <w:pStyle w:val="Heading2"/>
      </w:pPr>
      <w:r>
        <w:t>5.3 Employee Responsibilities</w:t>
      </w:r>
    </w:p>
    <w:p>
      <w:pPr>
        <w:pStyle w:val="ListBullet"/>
      </w:pPr>
      <w:r>
        <w:t>- Adhere to all aspects of the Drug-Free Workplace Policy.</w:t>
        <w:br/>
        <w:t>- Report to work fit for duty and free from the influence of drugs or alcohol.</w:t>
        <w:br/>
        <w:t>- Cooperate with all drug and alcohol testing procedures.</w:t>
        <w:br/>
        <w:t>- Seek assistance for substance abuse problems through available resources.</w:t>
        <w:br/>
        <w:t>- Report any policy violations observed on the job site.</w:t>
        <w:br/>
        <w:t xml:space="preserve">        </w:t>
      </w:r>
    </w:p>
    <w:p>
      <w:pPr>
        <w:pStyle w:val="Heading2"/>
      </w:pPr>
      <w:r>
        <w:t>5.4 Subcontractor Responsibilities</w:t>
      </w:r>
    </w:p>
    <w:p>
      <w:pPr>
        <w:pStyle w:val="ListBullet"/>
      </w:pPr>
      <w:r>
        <w:t>- Ensure their employees comply with MH Construction, Inc.'s Drug-Free Workplace Policy while on MHC job sites.</w:t>
        <w:br/>
        <w:t>- Implement and enforce their own drug and alcohol policies that meet or exceed MHC standards.</w:t>
        <w:br/>
        <w:t>- Provide documentation of compliance upon request.</w:t>
        <w:br/>
        <w:t>- Remove any employee from an MHC job site who violates this policy.</w:t>
        <w:br/>
        <w:t xml:space="preserve">        </w:t>
      </w:r>
    </w:p>
    <w:p>
      <w:pPr>
        <w:pStyle w:val="Heading1"/>
      </w:pPr>
      <w:r>
        <w:t>6. Procedures / Requirements</w:t>
      </w:r>
    </w:p>
    <w:p>
      <w:pPr>
        <w:pStyle w:val="Heading2"/>
      </w:pPr>
      <w:r>
        <w:t>6.1 Prohibited Conduct</w:t>
      </w:r>
    </w:p>
    <w:p>
      <w:r>
        <w:t>The following conduct is strictly prohibited: the unlawful manufacture, distribution, dispensation, possession, or use of controlled substances, and the consumption of alcohol, on company property, job sites, or while conducting company business. Violation of this policy will result in disciplinary action, up to and including termination. (Refer to OSHA: 29 CFR 1926.20(b) for general safety and health provisions).</w:t>
      </w:r>
    </w:p>
    <w:p>
      <w:pPr>
        <w:pStyle w:val="Heading2"/>
      </w:pPr>
      <w:r>
        <w:t>6.2 Drug and Alcohol Testing</w:t>
      </w:r>
    </w:p>
    <w:p>
      <w:r>
        <w:t>MH Construction, Inc. reserves the right to conduct drug and alcohol testing under various circumstances, including pre-employment, reasonable suspicion, post-accident, return-to-duty, and follow-up testing. All testing will be conducted in accordance with federal and state regulations, including DOT 49 CFR Part 40 for safety-sensitive positions. (Refer to WISHA: WAC 296-800-11035 for Drug-Free Workplace requirements).</w:t>
      </w:r>
    </w:p>
    <w:p>
      <w:pPr>
        <w:pStyle w:val="Heading2"/>
      </w:pPr>
      <w:r>
        <w:t>6.3 Reasonable Suspicion Testing Procedures</w:t>
      </w:r>
    </w:p>
    <w:p>
      <w:r>
        <w:t>Supervisors trained in reasonable suspicion identification will document specific, articulable observations concerning an employee's appearance, behavior, speech, or body odors. These observations will be reviewed with another supervisor or management representative. If reasonable suspicion is confirmed, the employee will be immediately removed from duty and transported for testing. Failure to submit to testing will be considered a refusal and will result in disciplinary action.</w:t>
      </w:r>
    </w:p>
    <w:p>
      <w:pPr>
        <w:pStyle w:val="Heading2"/>
      </w:pPr>
      <w:r>
        <w:t>6.4 Post-Accident Testing</w:t>
      </w:r>
    </w:p>
    <w:p>
      <w:r>
        <w:t>Employees involved in an accident that results in a fatality, injury requiring medical treatment beyond first aid, or significant property damage will be subject to drug and alcohol testing. Testing will occur as soon as practicable following the incident. (Refer to WISHA: WAC 296-155-110 for Accident Prevention Program guidelines, which includes provisions for incident investigation).</w:t>
      </w:r>
    </w:p>
    <w:p>
      <w:pPr>
        <w:pStyle w:val="Heading2"/>
      </w:pPr>
      <w:r>
        <w:t>6.5 Return-to-Duty and Follow-Up Testing</w:t>
      </w:r>
    </w:p>
    <w:p>
      <w:r>
        <w:t>Employees who have violated this policy and are permitted to return to work must undergo a return-to-duty drug and alcohol test with a negative result. They will also be subject to unannounced follow-up testing for a period determined by a Substance Abuse Professional (SAP), in accordance with DOT 49 CFR Part 40, if applicable.</w:t>
      </w:r>
    </w:p>
    <w:p>
      <w:pPr>
        <w:pStyle w:val="Heading2"/>
      </w:pPr>
      <w:r>
        <w:t>6.6 Confidentiality</w:t>
      </w:r>
    </w:p>
    <w:p>
      <w:r>
        <w:t>All information related to drug and alcohol testing and policy violations will be treated with strict confidentiality, shared only on a need-to-know basis, and in accordance with applicable privacy laws.</w:t>
      </w:r>
    </w:p>
    <w:p>
      <w:pPr>
        <w:pStyle w:val="Heading2"/>
      </w:pPr>
      <w:r>
        <w:t>6.7 Employee Assistance Program (EAP)</w:t>
      </w:r>
    </w:p>
    <w:p>
      <w:r>
        <w:t>MH Construction, Inc. encourages employees with substance abuse problems to seek help through the company's Employee Assistance Program or other appropriate resources. Seeking assistance will not be used as a basis for disciplinary action, provided the employee complies with all treatment recommendations and policy requirements.</w:t>
      </w:r>
    </w:p>
    <w:p>
      <w:pPr>
        <w:pStyle w:val="Heading1"/>
      </w:pPr>
      <w:r>
        <w:t>7. Training Requirements</w:t>
      </w:r>
    </w:p>
    <w:p>
      <w:r>
        <w:t>All employees will receive initial and periodic training on the Drug-Free Workplace Policy, including the effects of drugs and alcohol on health and safety, and available assistance programs. Supervisors will receive additional training on reasonable suspicion identification and documentation. Training records, including dates, attendees, and topics covered, will be maintained by the Safety Officer. (Refer to OSHA: 29 CFR 1926.21 for safety training and education requirements).</w:t>
      </w:r>
    </w:p>
    <w:p>
      <w:pPr>
        <w:pStyle w:val="Heading1"/>
      </w:pPr>
      <w:r>
        <w:t>8. Inspection and Enforcement</w:t>
      </w:r>
    </w:p>
    <w:p>
      <w:r>
        <w:t>Compliance with this policy will be monitored through regular job site inspections, supervisor observations, and incident investigations. Any observed violations will be immediately addressed. Corrective actions will be implemented promptly, and follow-up will ensure sustained compliance. The Safety Officer is responsible for overseeing enforcement activities.</w:t>
      </w:r>
    </w:p>
    <w:p>
      <w:pPr>
        <w:pStyle w:val="Heading1"/>
      </w:pPr>
      <w:r>
        <w:t>9. Recordkeeping</w:t>
      </w:r>
    </w:p>
    <w:p>
      <w:r>
        <w:t>Records related to drug and alcohol testing, training, policy violations, and disciplinary actions will be maintained by the HR Department and/or Safety Officer for a minimum of five years, or as required by federal and state regulations. These records will be kept confidential and separate from personnel files.</w:t>
      </w:r>
    </w:p>
    <w:p>
      <w:pPr>
        <w:pStyle w:val="Heading1"/>
      </w:pPr>
      <w:r>
        <w:t>10. Violation Consequences</w:t>
      </w:r>
    </w:p>
    <w:p>
      <w:r>
        <w:t>Violations of this Drug-Free Workplace Policy will result in progressive disciplinary action, up to and including immediate termination of employment or contract. The severity of the disciplinary action will depend on the nature and severity of the violation, prior infractions, and compliance with any required rehabilitation programs. MH Construction, Inc. reserves the right to take immediate and severe disciplinary action for serious violations.</w:t>
      </w:r>
    </w:p>
    <w:p>
      <w:pPr>
        <w:pStyle w:val="Heading1"/>
      </w:pPr>
      <w:r>
        <w:t>11. References</w:t>
      </w:r>
    </w:p>
    <w:p>
      <w:r>
        <w:t>OSHA: 29 CFR - 1926.20(b)</w:t>
      </w:r>
    </w:p>
    <w:p>
      <w:r>
        <w:t>OSHA: Drug-Free Workplace Act 41 U.S.C. 8101-8106 - Drug-Free Workplace Act</w:t>
      </w:r>
    </w:p>
    <w:p>
      <w:r>
        <w:t>OSHA: DOT 49 CFR Part 40 - Department of Transportation</w:t>
      </w:r>
    </w:p>
    <w:p>
      <w:r>
        <w:t>WISHA: WAC 296-155-110 - Accident Prevention Program</w:t>
      </w:r>
    </w:p>
    <w:p>
      <w:r>
        <w:t>WISHA: WAC 296-800-11035 - Drug-Free Workplace</w:t>
      </w:r>
    </w:p>
    <w:p>
      <w:r>
        <w:t>AGC: Safety and Health Manual Ch. 2 - Safety and Health Manual</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07AF87E-DC58-4F24-82CD-054E0EDA5F44}"/>
</file>

<file path=customXml/itemProps3.xml><?xml version="1.0" encoding="utf-8"?>
<ds:datastoreItem xmlns:ds="http://schemas.openxmlformats.org/officeDocument/2006/customXml" ds:itemID="{FAF009D9-81A1-42A7-8741-50900647818C}"/>
</file>

<file path=customXml/itemProps4.xml><?xml version="1.0" encoding="utf-8"?>
<ds:datastoreItem xmlns:ds="http://schemas.openxmlformats.org/officeDocument/2006/customXml" ds:itemID="{C1E36DB6-B025-4197-B0D1-76A3EC4F26D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