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r>
    </w:p>
    <w:p>
      <w:pPr>
        <w:jc w:val="center"/>
      </w:pPr>
      <w:r>
        <w:t>Industrial Safety &amp; Health Program (MISH)</w:t>
      </w:r>
    </w:p>
    <w:p>
      <w:pPr>
        <w:jc w:val="center"/>
      </w:pPr>
      <w:r>
        <w:rPr>
          <w:rFonts w:ascii="Arial" w:hAnsi="Arial"/>
          <w:b/>
          <w:sz w:val="24"/>
        </w:rPr>
        <w:t>MISH 04 | Safety and Health Orientation</w:t>
      </w:r>
    </w:p>
    <w:p>
      <w:pPr>
        <w:jc w:val="center"/>
      </w:pPr>
      <w:r>
        <w:t>Revision 3 | Effective: 04/07/2026 | Safety Officer: Matt Ramsey</w:t>
      </w:r>
    </w:p>
    <w:p>
      <w:r>
        <w:br/>
      </w:r>
      <w:r>
        <w:t>────────────────────────────────────────────────────────────────────────────────</w:t>
      </w:r>
      <w:r>
        <w:br/>
      </w:r>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3000"/>
          </w:tcPr>
          <w:p>
            <w:r>
              <w:rPr>
                <w:rFonts w:ascii="Arial" w:hAnsi="Arial"/>
                <w:b w:val="0"/>
                <w:sz w:val="22"/>
              </w:rPr>
              <w:t>OSHA</w:t>
            </w:r>
          </w:p>
        </w:tc>
        <w:tc>
          <w:tcPr>
            <w:tcW w:type="dxa" w:w="3000"/>
          </w:tcPr>
          <w:p>
            <w:r>
              <w:rPr>
                <w:rFonts w:ascii="Arial" w:hAnsi="Arial"/>
                <w:b w:val="0"/>
                <w:sz w:val="22"/>
              </w:rPr>
              <w:t>29 CFR 1926.21(b)(2) Employer must instruct each employee in recognition and avoidance of unsafe conditions</w:t>
            </w:r>
          </w:p>
        </w:tc>
        <w:tc>
          <w:tcPr>
            <w:tcW w:type="dxa" w:w="3000"/>
          </w:tcPr>
          <w:p>
            <w:r>
              <w:rPr>
                <w:rFonts w:ascii="Arial" w:hAnsi="Arial"/>
                <w:b w:val="0"/>
                <w:sz w:val="22"/>
              </w:rPr>
              <w:t>N/A</w:t>
            </w:r>
          </w:p>
        </w:tc>
      </w:tr>
      <w:tr>
        <w:tc>
          <w:tcPr>
            <w:tcW w:type="dxa" w:w="3000"/>
          </w:tcPr>
          <w:p>
            <w:r>
              <w:rPr>
                <w:rFonts w:ascii="Arial" w:hAnsi="Arial"/>
                <w:b w:val="0"/>
                <w:sz w:val="22"/>
              </w:rPr>
              <w:t>WISHA</w:t>
            </w:r>
          </w:p>
        </w:tc>
        <w:tc>
          <w:tcPr>
            <w:tcW w:type="dxa" w:w="3000"/>
          </w:tcPr>
          <w:p>
            <w:r>
              <w:rPr>
                <w:rFonts w:ascii="Arial" w:hAnsi="Arial"/>
                <w:b w:val="0"/>
                <w:sz w:val="22"/>
              </w:rPr>
              <w:t>WAC 296-155-110(3)</w:t>
            </w:r>
          </w:p>
        </w:tc>
        <w:tc>
          <w:tcPr>
            <w:tcW w:type="dxa" w:w="3000"/>
          </w:tcPr>
          <w:p>
            <w:r>
              <w:rPr>
                <w:rFonts w:ascii="Arial" w:hAnsi="Arial"/>
                <w:b w:val="0"/>
                <w:sz w:val="22"/>
              </w:rPr>
              <w:t>Accident Prevention Program Training</w:t>
            </w:r>
          </w:p>
        </w:tc>
      </w:tr>
      <w:tr>
        <w:tc>
          <w:tcPr>
            <w:tcW w:type="dxa" w:w="3000"/>
          </w:tcPr>
          <w:p>
            <w:r>
              <w:rPr>
                <w:rFonts w:ascii="Arial" w:hAnsi="Arial"/>
                <w:b w:val="0"/>
                <w:sz w:val="22"/>
              </w:rPr>
              <w:t>WISHA</w:t>
            </w:r>
          </w:p>
        </w:tc>
        <w:tc>
          <w:tcPr>
            <w:tcW w:type="dxa" w:w="3000"/>
          </w:tcPr>
          <w:p>
            <w:r>
              <w:rPr>
                <w:rFonts w:ascii="Arial" w:hAnsi="Arial"/>
                <w:b w:val="0"/>
                <w:sz w:val="22"/>
              </w:rPr>
              <w:t>WAC 296-155-115</w:t>
            </w:r>
          </w:p>
        </w:tc>
        <w:tc>
          <w:tcPr>
            <w:tcW w:type="dxa" w:w="3000"/>
          </w:tcPr>
          <w:p>
            <w:r>
              <w:rPr>
                <w:rFonts w:ascii="Arial" w:hAnsi="Arial"/>
                <w:b w:val="0"/>
                <w:sz w:val="22"/>
              </w:rPr>
              <w:t>Safety Bulletin Board</w:t>
            </w:r>
          </w:p>
        </w:tc>
      </w:tr>
      <w:tr>
        <w:tc>
          <w:tcPr>
            <w:tcW w:type="dxa" w:w="3000"/>
          </w:tcPr>
          <w:p>
            <w:r>
              <w:rPr>
                <w:rFonts w:ascii="Arial" w:hAnsi="Arial"/>
                <w:b w:val="0"/>
                <w:sz w:val="22"/>
              </w:rPr>
              <w:t>AGC</w:t>
            </w:r>
          </w:p>
        </w:tc>
        <w:tc>
          <w:tcPr>
            <w:tcW w:type="dxa" w:w="3000"/>
          </w:tcPr>
          <w:p>
            <w:r>
              <w:rPr>
                <w:rFonts w:ascii="Arial" w:hAnsi="Arial"/>
                <w:b w:val="0"/>
                <w:sz w:val="22"/>
              </w:rPr>
              <w:t>Jobsite Safety Handbook</w:t>
            </w:r>
          </w:p>
        </w:tc>
        <w:tc>
          <w:tcPr>
            <w:tcW w:type="dxa" w:w="3000"/>
          </w:tcPr>
          <w:p>
            <w:r>
              <w:rPr>
                <w:rFonts w:ascii="Arial" w:hAnsi="Arial"/>
                <w:b w:val="0"/>
                <w:sz w:val="22"/>
              </w:rPr>
              <w:t>N/A</w:t>
            </w:r>
          </w:p>
        </w:tc>
      </w:tr>
      <w:tr>
        <w:tc>
          <w:tcPr>
            <w:tcW w:type="dxa" w:w="3000"/>
          </w:tcPr>
          <w:p>
            <w:r>
              <w:rPr>
                <w:rFonts w:ascii="Arial" w:hAnsi="Arial"/>
                <w:b w:val="0"/>
                <w:sz w:val="22"/>
              </w:rPr>
              <w:t>AGC</w:t>
            </w:r>
          </w:p>
        </w:tc>
        <w:tc>
          <w:tcPr>
            <w:tcW w:type="dxa" w:w="3000"/>
          </w:tcPr>
          <w:p>
            <w:r>
              <w:rPr>
                <w:rFonts w:ascii="Arial" w:hAnsi="Arial"/>
                <w:b w:val="0"/>
                <w:sz w:val="22"/>
              </w:rPr>
              <w:t>AGC SHIP Ch. 3</w:t>
            </w:r>
          </w:p>
        </w:tc>
        <w:tc>
          <w:tcPr>
            <w:tcW w:type="dxa" w:w="3000"/>
          </w:tcPr>
          <w:p>
            <w:r>
              <w:rPr>
                <w:rFonts w:ascii="Arial" w:hAnsi="Arial"/>
                <w:b w:val="0"/>
                <w:sz w:val="22"/>
              </w:rPr>
              <w:t>N/A</w:t>
            </w:r>
          </w:p>
        </w:tc>
      </w:tr>
    </w:tbl>
    <w:p/>
    <w:p>
      <w:pPr>
        <w:pStyle w:val="Heading1"/>
      </w:pPr>
      <w:r>
        <w:t>Purpose</w:t>
      </w:r>
    </w:p>
    <w:p>
      <w:r>
        <w:t>This policy establishes the framework for a comprehensive Safety and Health Orientation program at MH Construction, Inc. It aims to ensure all personnel are aware of potential hazards and the measures required to maintain a safe working environment, thereby preventing accidents and promoting compliance with regulatory standards.</w:t>
      </w:r>
    </w:p>
    <w:p>
      <w:pPr>
        <w:pStyle w:val="Heading1"/>
      </w:pPr>
      <w:r>
        <w:t>Scope</w:t>
      </w:r>
    </w:p>
    <w:p>
      <w:r>
        <w:t>This program applies to all MH Construction, Inc. employees, subcontractors, temporary workers, and visitors present on any MH Construction job site or facility. Adherence to these guidelines is mandatory for all individuals to ensure a consistent and high standard of safety across all operations.</w:t>
      </w:r>
    </w:p>
    <w:p>
      <w:pPr>
        <w:pStyle w:val="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4500"/>
          </w:tcPr>
          <w:p>
            <w:r>
              <w:rPr>
                <w:rFonts w:ascii="Arial" w:hAnsi="Arial"/>
                <w:b w:val="0"/>
                <w:sz w:val="22"/>
              </w:rPr>
              <w:t>Competent Person</w:t>
            </w:r>
          </w:p>
        </w:tc>
        <w:tc>
          <w:tcPr>
            <w:tcW w:type="dxa" w:w="4500"/>
          </w:tcPr>
          <w:p>
            <w:r>
              <w:rPr>
                <w:rFonts w:ascii="Arial" w:hAnsi="Arial"/>
                <w:b w:val="0"/>
                <w:sz w:val="22"/>
              </w:rPr>
              <w:t>An individual designated by MH Construction, Inc.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rPr>
                <w:rFonts w:ascii="Arial" w:hAnsi="Arial"/>
                <w:b w:val="0"/>
                <w:sz w:val="22"/>
              </w:rPr>
              <w:t>Hazard Communication</w:t>
            </w:r>
          </w:p>
        </w:tc>
        <w:tc>
          <w:tcPr>
            <w:tcW w:type="dxa" w:w="4500"/>
          </w:tcPr>
          <w:p>
            <w:r>
              <w:rPr>
                <w:rFonts w:ascii="Arial" w:hAnsi="Arial"/>
                <w:b w:val="0"/>
                <w:sz w:val="22"/>
              </w:rPr>
              <w:t>The process of informing employees about chemical hazards in the workplace and the necessary precautions to take. This includes Safety Data Sheets (SDS) and proper labeling.</w:t>
            </w:r>
          </w:p>
        </w:tc>
      </w:tr>
      <w:tr>
        <w:tc>
          <w:tcPr>
            <w:tcW w:type="dxa" w:w="4500"/>
          </w:tcPr>
          <w:p>
            <w:r>
              <w:rPr>
                <w:rFonts w:ascii="Arial" w:hAnsi="Arial"/>
                <w:b w:val="0"/>
                <w:sz w:val="22"/>
              </w:rPr>
              <w:t>Job Hazard Analysis (JHA)</w:t>
            </w:r>
          </w:p>
        </w:tc>
        <w:tc>
          <w:tcPr>
            <w:tcW w:type="dxa" w:w="4500"/>
          </w:tcPr>
          <w:p>
            <w:r>
              <w:rPr>
                <w:rFonts w:ascii="Arial" w:hAnsi="Arial"/>
                <w:b w:val="0"/>
                <w:sz w:val="22"/>
              </w:rPr>
              <w:t>A procedure which helps integrate accepted safety and health principles and practices into a particular task or job operation. In a JHA, each basic step of the job is examined to identify potential hazards and to determine the safest way to do the job.</w:t>
            </w:r>
          </w:p>
        </w:tc>
      </w:tr>
      <w:tr>
        <w:tc>
          <w:tcPr>
            <w:tcW w:type="dxa" w:w="4500"/>
          </w:tcPr>
          <w:p>
            <w:r>
              <w:rPr>
                <w:rFonts w:ascii="Arial" w:hAnsi="Arial"/>
                <w:b w:val="0"/>
                <w:sz w:val="22"/>
              </w:rPr>
              <w:t>Orientation</w:t>
            </w:r>
          </w:p>
        </w:tc>
        <w:tc>
          <w:tcPr>
            <w:tcW w:type="dxa" w:w="4500"/>
          </w:tcPr>
          <w:p>
            <w:r>
              <w:rPr>
                <w:rFonts w:ascii="Arial" w:hAnsi="Arial"/>
                <w:b w:val="0"/>
                <w:sz w:val="22"/>
              </w:rPr>
              <w:t>The formal process of introducing new or transferred employees, as well as subcontractors and visitors, to the safety policies, procedures, and site-specific hazards of MH Construction, Inc. before they commence work.</w:t>
            </w:r>
          </w:p>
        </w:tc>
      </w:tr>
      <w:tr>
        <w:tc>
          <w:tcPr>
            <w:tcW w:type="dxa" w:w="4500"/>
          </w:tcPr>
          <w:p>
            <w:r>
              <w:rPr>
                <w:rFonts w:ascii="Arial" w:hAnsi="Arial"/>
                <w:b w:val="0"/>
                <w:sz w:val="22"/>
              </w:rPr>
              <w:t>Personal Protective Equipment (PPE)</w:t>
            </w:r>
          </w:p>
        </w:tc>
        <w:tc>
          <w:tcPr>
            <w:tcW w:type="dxa" w:w="4500"/>
          </w:tcPr>
          <w:p>
            <w:r>
              <w:rPr>
                <w:rFonts w:ascii="Arial" w:hAnsi="Arial"/>
                <w:b w:val="0"/>
                <w:sz w:val="22"/>
              </w:rPr>
              <w:t>Specialized clothing or equipment worn by employees for protection against health and safety hazards. Examples include hard hats, safety glasses, high-visibility vests, and steel-toed boots.</w:t>
            </w:r>
          </w:p>
        </w:tc>
      </w:tr>
    </w:tbl>
    <w:p/>
    <w:p>
      <w:pPr>
        <w:pStyle w:val="Heading1"/>
      </w:pPr>
      <w:r>
        <w:t>Responsibilities</w:t>
      </w:r>
    </w:p>
    <w:p>
      <w:pPr>
        <w:pStyle w:val="Heading2"/>
      </w:pPr>
      <w:r>
        <w:t>Company/Management Responsibilities</w:t>
      </w:r>
    </w:p>
    <w:p>
      <w:pPr>
        <w:pStyle w:val="ListBullet"/>
      </w:pPr>
      <w:r>
        <w:t>Develop, implement, and maintain a comprehensive Safety and Health Orientation program.</w:t>
      </w:r>
    </w:p>
    <w:p>
      <w:pPr>
        <w:pStyle w:val="ListBullet"/>
      </w:pPr>
      <w:r>
        <w:t>Provide necessary resources, including training materials and qualified personnel, to conduct effective orientations.</w:t>
      </w:r>
    </w:p>
    <w:p>
      <w:pPr>
        <w:pStyle w:val="ListBullet"/>
      </w:pPr>
      <w:r>
        <w:t>Ensure compliance with all applicable OSHA, WISHA, and AGC safety regulations and standards.</w:t>
      </w:r>
    </w:p>
    <w:p>
      <w:pPr>
        <w:pStyle w:val="ListBullet"/>
      </w:pPr>
      <w:r>
        <w:t>Regularly review and update the MISH Program to reflect current regulations and best practices.</w:t>
      </w:r>
    </w:p>
    <w:p>
      <w:pPr>
        <w:pStyle w:val="Heading2"/>
      </w:pPr>
      <w:r>
        <w:t>Supervisor/Foreman Responsibilities</w:t>
      </w:r>
    </w:p>
    <w:p>
      <w:pPr>
        <w:pStyle w:val="ListBullet"/>
      </w:pPr>
      <w:r>
        <w:t>Conduct site-specific safety orientations for all new employees, subcontractors, and visitors before they begin work.</w:t>
      </w:r>
    </w:p>
    <w:p>
      <w:pPr>
        <w:pStyle w:val="ListBullet"/>
      </w:pPr>
      <w:r>
        <w:t>Ensure all personnel under their supervision understand and adhere to MH Construction's safety policies and procedures.</w:t>
      </w:r>
    </w:p>
    <w:p>
      <w:pPr>
        <w:pStyle w:val="ListBullet"/>
      </w:pPr>
      <w:r>
        <w:t>Verify that all required training is completed and documented.</w:t>
      </w:r>
    </w:p>
    <w:p>
      <w:pPr>
        <w:pStyle w:val="ListBullet"/>
      </w:pPr>
      <w:r>
        <w:t>Identify and correct unsafe conditions or acts promptly, and report all incidents and near-misses.</w:t>
      </w:r>
    </w:p>
    <w:p>
      <w:pPr>
        <w:pStyle w:val="Heading2"/>
      </w:pPr>
      <w:r>
        <w:t>Employee Responsibilities</w:t>
      </w:r>
    </w:p>
    <w:p>
      <w:pPr>
        <w:pStyle w:val="ListBullet"/>
      </w:pPr>
      <w:r>
        <w:t>Attend and actively participate in all required safety orientations and training sessions.</w:t>
      </w:r>
    </w:p>
    <w:p>
      <w:pPr>
        <w:pStyle w:val="ListBullet"/>
      </w:pPr>
      <w:r>
        <w:t>Comply with all MH Construction safety rules, policies, and procedures, as well as all applicable regulatory requirements.</w:t>
      </w:r>
    </w:p>
    <w:p>
      <w:pPr>
        <w:pStyle w:val="ListBullet"/>
      </w:pPr>
      <w:r>
        <w:t>Report any unsafe conditions, hazards, or incidents to their supervisor immediately.</w:t>
      </w:r>
    </w:p>
    <w:p>
      <w:pPr>
        <w:pStyle w:val="ListBullet"/>
      </w:pPr>
      <w:r>
        <w:t>Use all assigned Personal Protective Equipment (PPE) correctly and maintain it in good condition.</w:t>
      </w:r>
    </w:p>
    <w:p>
      <w:pPr>
        <w:pStyle w:val="Heading2"/>
      </w:pPr>
      <w:r>
        <w:t>Subcontractor Responsibilities</w:t>
      </w:r>
    </w:p>
    <w:p>
      <w:pPr>
        <w:pStyle w:val="ListBullet"/>
      </w:pPr>
      <w:r>
        <w:t>Ensure their employees receive comprehensive safety orientation relevant to the scope of work and job site hazards.</w:t>
      </w:r>
    </w:p>
    <w:p>
      <w:pPr>
        <w:pStyle w:val="ListBullet"/>
      </w:pPr>
      <w:r>
        <w:t>Comply with all MH Construction safety policies and procedures, and all applicable OSHA and WISHA regulations.</w:t>
      </w:r>
    </w:p>
    <w:p>
      <w:pPr>
        <w:pStyle w:val="ListBullet"/>
      </w:pPr>
      <w:r>
        <w:t>Provide their employees with appropriate PPE and ensure its correct use and maintenance.</w:t>
      </w:r>
    </w:p>
    <w:p>
      <w:pPr>
        <w:pStyle w:val="ListBullet"/>
      </w:pPr>
      <w:r>
        <w:t>Coordinate with MH Construction supervisors regarding site-specific hazards and emergency procedures.</w:t>
      </w:r>
    </w:p>
    <w:p>
      <w:pPr>
        <w:pStyle w:val="Heading1"/>
      </w:pPr>
      <w:r>
        <w:t>Procedures / Requirements</w:t>
      </w:r>
    </w:p>
    <w:p>
      <w:pPr>
        <w:pStyle w:val="Heading2"/>
      </w:pPr>
      <w:r>
        <w:t>7.1 General Orientation Requirements</w:t>
      </w:r>
    </w:p>
    <w:p>
      <w:r>
        <w:t>All new employees, transferred employees, subcontractors, and visitors must receive a safety and health orientation prior to commencing work on any MH Construction, Inc. job site. This orientation will cover general safety policies and site-specific hazards. Per OSHA 29 CFR 1926.21(b)(2), employers must instruct each employee in the recognition and avoidance of unsafe conditions and the regulations applicable to their work environment to control or eliminate any hazards or other exposure to illness or injury.</w:t>
      </w:r>
    </w:p>
    <w:p>
      <w:pPr>
        <w:pStyle w:val="Heading2"/>
      </w:pPr>
      <w:r>
        <w:t>7.2 Content of General Orientation</w:t>
      </w:r>
    </w:p>
    <w:p>
      <w:r>
        <w:t>The general orientation will include, but not be limited to, the following topics:</w:t>
      </w:r>
    </w:p>
    <w:p>
      <w:pPr>
        <w:pStyle w:val="ListNumber"/>
      </w:pPr>
      <w:r>
        <w:t>MH Construction's safety philosophy and commitment to an injury-free workplace.</w:t>
      </w:r>
    </w:p>
    <w:p>
      <w:pPr>
        <w:pStyle w:val="ListNumber"/>
      </w:pPr>
      <w:r>
        <w:t>Overview of the MISH Program and its importance.</w:t>
      </w:r>
    </w:p>
    <w:p>
      <w:pPr>
        <w:pStyle w:val="ListNumber"/>
      </w:pPr>
      <w:r>
        <w:t>Emergency procedures, including evacuation routes, assembly points, and first aid locations.</w:t>
      </w:r>
    </w:p>
    <w:p>
      <w:pPr>
        <w:pStyle w:val="ListNumber"/>
      </w:pPr>
      <w:r>
        <w:t>Hazard communication program, including access to Safety Data Sheets (SDS) and understanding of chemical labels.</w:t>
      </w:r>
    </w:p>
    <w:p>
      <w:pPr>
        <w:pStyle w:val="ListNumber"/>
      </w:pPr>
      <w:r>
        <w:t>Reporting procedures for incidents, near-misses, and unsafe conditions.</w:t>
      </w:r>
    </w:p>
    <w:p>
      <w:pPr>
        <w:pStyle w:val="ListNumber"/>
      </w:pPr>
      <w:r>
        <w:t>General site rules, including personal protective equipment (PPE) requirements, housekeeping, and prohibited activities.</w:t>
      </w:r>
    </w:p>
    <w:p>
      <w:pPr>
        <w:pStyle w:val="ListNumber"/>
      </w:pPr>
      <w:r>
        <w:t>Drug and alcohol policy.</w:t>
      </w:r>
    </w:p>
    <w:p>
      <w:pPr>
        <w:pStyle w:val="ListNumber"/>
      </w:pPr>
      <w:r>
        <w:t>Fire prevention and protection.</w:t>
      </w:r>
    </w:p>
    <w:p>
      <w:pPr>
        <w:pStyle w:val="ListNumber"/>
      </w:pPr>
      <w:r>
        <w:t>Electrical safety awareness.</w:t>
      </w:r>
    </w:p>
    <w:p>
      <w:pPr>
        <w:pStyle w:val="ListNumber"/>
      </w:pPr>
      <w:r>
        <w:t>Fall protection basics.</w:t>
      </w:r>
    </w:p>
    <w:p>
      <w:pPr>
        <w:pStyle w:val="Heading2"/>
      </w:pPr>
      <w:r>
        <w:t>7.3 Site-Specific Orientation</w:t>
      </w:r>
    </w:p>
    <w:p>
      <w:r>
        <w:t>In addition to the general orientation, a site-specific orientation must be conducted for all personnel entering a new job site. This orientation will address hazards unique to that particular site. Per WAC 296-155-110(3), employers must ensure that all employees are trained in the specific hazards of their job and the job site.</w:t>
      </w:r>
    </w:p>
    <w:p>
      <w:pPr>
        <w:pStyle w:val="ListNumber"/>
      </w:pPr>
      <w:r>
        <w:t>Identification of site-specific hazards (e.g., excavations, confined spaces, overhead power lines, traffic patterns).</w:t>
      </w:r>
    </w:p>
    <w:p>
      <w:pPr>
        <w:pStyle w:val="ListNumber"/>
      </w:pPr>
      <w:r>
        <w:t>Emergency contact information and procedures specific to the site.</w:t>
      </w:r>
    </w:p>
    <w:p>
      <w:pPr>
        <w:pStyle w:val="ListNumber"/>
      </w:pPr>
      <w:r>
        <w:t>Location of first aid stations, fire extinguishers, and emergency exits.</w:t>
      </w:r>
    </w:p>
    <w:p>
      <w:pPr>
        <w:pStyle w:val="ListNumber"/>
      </w:pPr>
      <w:r>
        <w:t>Site-specific communication protocols and reporting requirements.</w:t>
      </w:r>
    </w:p>
    <w:p>
      <w:pPr>
        <w:pStyle w:val="ListNumber"/>
      </w:pPr>
      <w:r>
        <w:t>Traffic control plans and pedestrian safety routes.</w:t>
      </w:r>
    </w:p>
    <w:p>
      <w:pPr>
        <w:pStyle w:val="ListNumber"/>
      </w:pPr>
      <w:r>
        <w:t>Specific equipment and machinery hazards present on site.</w:t>
      </w:r>
    </w:p>
    <w:p>
      <w:pPr>
        <w:pStyle w:val="Heading2"/>
      </w:pPr>
      <w:r>
        <w:t>7.4 Documentation of Orientation</w:t>
      </w:r>
    </w:p>
    <w:p>
      <w:r>
        <w:t>All orientations, both general and site-specific, must be documented. This documentation will include the date of orientation, topics covered, and signatures of attendees, acknowledging their understanding of the information presented. Records will be maintained by the Safety Officer or designated personnel.</w:t>
      </w:r>
    </w:p>
    <w:p>
      <w:pPr>
        <w:pStyle w:val="Heading2"/>
      </w:pPr>
      <w:r>
        <w:t>7.5 Refresher Orientations</w:t>
      </w:r>
    </w:p>
    <w:p>
      <w:r>
        <w:t>Refresher orientations will be conducted periodically, or when there are significant changes to job tasks, equipment, or site conditions, or when an employee demonstrates a lack of understanding or adherence to safety procedures. This ensures continuous awareness and compliance with evolving safety standards.</w:t>
      </w:r>
    </w:p>
    <w:p>
      <w:pPr>
        <w:pStyle w:val="Heading2"/>
      </w:pPr>
      <w:r>
        <w:t>7.6 Safety Bulletin Board</w:t>
      </w:r>
    </w:p>
    <w:p>
      <w:r>
        <w:t>Each job site will maintain a Safety Bulletin Board, prominently displayed and easily accessible to all employees. This board will contain essential safety information, including emergency contacts, safety policies, and relevant regulatory posters. Per WAC 296-155-115, a safety bulletin board or a similar system must be used to disseminate safety information.</w:t>
      </w:r>
    </w:p>
    <w:p>
      <w:pPr>
        <w:pStyle w:val="Heading1"/>
      </w:pPr>
      <w:r>
        <w:t>Training Requirements</w:t>
      </w:r>
    </w:p>
    <w:p>
      <w:r>
        <w:t>All MH Construction, Inc. employees, supervisors, and subcontractors must undergo initial safety and health orientation as described in Section 7.1. Training frequency will be determined by job role, exposure to hazards, and regulatory requirements. Documentation of all training, including dates, topics, and attendees, will be maintained by the Safety Officer. Applicable OSHA and WISHA training mandates, such as those outlined in 29 CFR 1926.21(b)(2) and WAC 296-155-110(3), will be strictly adhered to.</w:t>
      </w:r>
    </w:p>
    <w:p>
      <w:pPr>
        <w:pStyle w:val="Heading1"/>
      </w:pPr>
      <w:r>
        <w:t>Inspection and Enforcement</w:t>
      </w:r>
    </w:p>
    <w:p>
      <w:r>
        <w:t>Compliance with the Safety and Health Orientation program will be monitored through regular site inspections conducted by supervisors, foremen, and the Safety Officer. Inspections will occur at least weekly, or more frequently based on site-specific hazards and activities. Any non-compliance or unsafe conditions identified will result in immediate corrective action, documented and tracked to ensure resolution. Failure to comply with safety procedures will be addressed through the progressive discipline policy outlined in Section 11.</w:t>
      </w:r>
    </w:p>
    <w:p>
      <w:pPr>
        <w:pStyle w:val="Heading1"/>
      </w:pPr>
      <w:r>
        <w:t>Recordkeeping</w:t>
      </w:r>
    </w:p>
    <w:p>
      <w:r>
        <w:t>The following records related to Safety and Health Orientation will be maintained:</w:t>
      </w:r>
    </w:p>
    <w:p>
      <w:pPr>
        <w:pStyle w:val="ListBullet"/>
      </w:pPr>
      <w:r>
        <w:t>Orientation attendance logs, including dates, topics covered, and attendee signatures.</w:t>
      </w:r>
    </w:p>
    <w:p>
      <w:pPr>
        <w:pStyle w:val="ListBullet"/>
      </w:pPr>
      <w:r>
        <w:t>Training certificates and qualifications for specialized safety training.</w:t>
      </w:r>
    </w:p>
    <w:p>
      <w:pPr>
        <w:pStyle w:val="ListBullet"/>
      </w:pPr>
      <w:r>
        <w:t>Records of safety meetings and toolbox talks.</w:t>
      </w:r>
    </w:p>
    <w:p>
      <w:pPr>
        <w:pStyle w:val="ListBullet"/>
      </w:pPr>
      <w:r>
        <w:t>Documentation of corrective actions taken for identified non-compliance.</w:t>
      </w:r>
    </w:p>
    <w:p>
      <w:r>
        <w:t>All records will be retained for a minimum of five (5) years, or as required by specific regulatory standards, and will be managed by the Safety Officer.</w:t>
      </w:r>
    </w:p>
    <w:p>
      <w:pPr>
        <w:pStyle w:val="Heading1"/>
      </w:pPr>
      <w:r>
        <w:t>Violation Consequences</w:t>
      </w:r>
    </w:p>
    <w:p>
      <w:r>
        <w:t>Violation of MH Construction, Inc. safety policies, including failure to adhere to orientation requirements, will result in progressive disciplinary action. This may include verbal warnings, written warnings, suspension, and ultimately, termination of employment or contract. The severity of the disciplinary action will depend on the nature and frequency of the violation, as well as its potential impact on safety.</w:t>
      </w:r>
    </w:p>
    <w:p>
      <w:pPr>
        <w:pStyle w:val="Heading1"/>
      </w:pPr>
      <w:r>
        <w:t>References</w:t>
      </w:r>
    </w:p>
    <w:p>
      <w:pPr/>
      <w:r>
        <w:t>OSHA: 29 CFR 1926.21(b)(2) Employer must instruct each employee in recognition and avoidance of unsafe conditions N/A</w:t>
      </w:r>
    </w:p>
    <w:p>
      <w:pPr/>
      <w:r>
        <w:t>WISHA: WAC 296-155-110(3) Accident Prevention Program Training</w:t>
      </w:r>
    </w:p>
    <w:p>
      <w:pPr/>
      <w:r>
        <w:t>WISHA: WAC 296-155-115 Safety Bulletin Board</w:t>
      </w:r>
    </w:p>
    <w:p>
      <w:pPr/>
      <w:r>
        <w:t>AGC: Jobsite Safety Handbook N/A</w:t>
      </w:r>
    </w:p>
    <w:p>
      <w:pPr/>
      <w:r>
        <w:t>AGC: AGC SHIP Ch. 3 N/A</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095CF7-6503-48DC-A20A-9133DCB6709F}"/>
</file>

<file path=customXml/itemProps3.xml><?xml version="1.0" encoding="utf-8"?>
<ds:datastoreItem xmlns:ds="http://schemas.openxmlformats.org/officeDocument/2006/customXml" ds:itemID="{29E13231-B5A6-4D55-B3D7-14DFE52D7619}"/>
</file>

<file path=customXml/itemProps4.xml><?xml version="1.0" encoding="utf-8"?>
<ds:datastoreItem xmlns:ds="http://schemas.openxmlformats.org/officeDocument/2006/customXml" ds:itemID="{61C7B53B-0AFD-4A14-BCF4-79B1F82A4F4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