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MH CONSTRUCTION, INC.</w:t>
      </w:r>
    </w:p>
    <w:p>
      <w:pPr>
        <w:jc w:val="center"/>
      </w:pPr>
      <w:r>
        <w:t>Industrial Safety &amp; Health Program (MISH)</w:t>
      </w:r>
    </w:p>
    <w:p>
      <w:pPr>
        <w:jc w:val="center"/>
      </w:pPr>
      <w:r>
        <w:t>MISH 05</w:t>
      </w:r>
    </w:p>
    <w:p>
      <w:pPr>
        <w:jc w:val="center"/>
      </w:pPr>
      <w:r>
        <w:t>3 | Effective: 04/07/2026 | Matt Ramsey</w:t>
      </w:r>
    </w:p>
    <w:p>
      <w:r>
        <w:t>────────────────────────────────────────────────────────────────────────────────────────────────────</w:t>
      </w:r>
    </w:p>
    <w:p>
      <w:pPr>
        <w:pStyle w:val="Heading1"/>
      </w:pPr>
      <w:r>
        <w:t>1. 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29 CFR</w:t>
            </w:r>
          </w:p>
        </w:tc>
        <w:tc>
          <w:tcPr>
            <w:tcW w:type="dxa" w:w="3000"/>
          </w:tcPr>
          <w:p>
            <w:r>
              <w:t>1926.20(b)(1) Initiation and maintenance of programs</w:t>
            </w:r>
          </w:p>
        </w:tc>
      </w:tr>
      <w:tr>
        <w:tc>
          <w:tcPr>
            <w:tcW w:type="dxa" w:w="3000"/>
          </w:tcPr>
          <w:p>
            <w:r>
              <w:t>OSHA</w:t>
            </w:r>
          </w:p>
        </w:tc>
        <w:tc>
          <w:tcPr>
            <w:tcW w:type="dxa" w:w="3000"/>
          </w:tcPr>
          <w:p>
            <w:r>
              <w:t>29 CFR</w:t>
            </w:r>
          </w:p>
        </w:tc>
        <w:tc>
          <w:tcPr>
            <w:tcW w:type="dxa" w:w="3000"/>
          </w:tcPr>
          <w:p>
            <w:r>
              <w:t>1926.21(b)</w:t>
            </w:r>
          </w:p>
        </w:tc>
      </w:tr>
      <w:tr>
        <w:tc>
          <w:tcPr>
            <w:tcW w:type="dxa" w:w="3000"/>
          </w:tcPr>
          <w:p>
            <w:r>
              <w:t>WISHA</w:t>
            </w:r>
          </w:p>
        </w:tc>
        <w:tc>
          <w:tcPr>
            <w:tcW w:type="dxa" w:w="3000"/>
          </w:tcPr>
          <w:p>
            <w:r>
              <w:t>WAC 296-155-110(3)</w:t>
            </w:r>
          </w:p>
        </w:tc>
        <w:tc>
          <w:tcPr>
            <w:tcW w:type="dxa" w:w="3000"/>
          </w:tcPr>
          <w:p>
            <w:r>
              <w:t>Accident Prevention Program Planning</w:t>
            </w:r>
          </w:p>
        </w:tc>
      </w:tr>
      <w:tr>
        <w:tc>
          <w:tcPr>
            <w:tcW w:type="dxa" w:w="3000"/>
          </w:tcPr>
          <w:p>
            <w:r>
              <w:t>WISHA</w:t>
            </w:r>
          </w:p>
        </w:tc>
        <w:tc>
          <w:tcPr>
            <w:tcW w:type="dxa" w:w="3000"/>
          </w:tcPr>
          <w:p>
            <w:r>
              <w:t>WAC 296-155-035</w:t>
            </w:r>
          </w:p>
        </w:tc>
        <w:tc>
          <w:tcPr>
            <w:tcW w:type="dxa" w:w="3000"/>
          </w:tcPr>
          <w:p>
            <w:r>
              <w:t>General Requirements</w:t>
            </w:r>
          </w:p>
        </w:tc>
      </w:tr>
      <w:tr>
        <w:tc>
          <w:tcPr>
            <w:tcW w:type="dxa" w:w="3000"/>
          </w:tcPr>
          <w:p>
            <w:r>
              <w:t>AGC</w:t>
            </w:r>
          </w:p>
        </w:tc>
        <w:tc>
          <w:tcPr>
            <w:tcW w:type="dxa" w:w="3000"/>
          </w:tcPr>
          <w:p>
            <w:r>
              <w:t>JHA Guidelines</w:t>
            </w:r>
          </w:p>
        </w:tc>
        <w:tc>
          <w:tcPr>
            <w:tcW w:type="dxa" w:w="3000"/>
          </w:tcPr>
          <w:p>
            <w:r/>
          </w:p>
        </w:tc>
      </w:tr>
      <w:tr>
        <w:tc>
          <w:tcPr>
            <w:tcW w:type="dxa" w:w="3000"/>
          </w:tcPr>
          <w:p>
            <w:r>
              <w:t>AGC</w:t>
            </w:r>
          </w:p>
        </w:tc>
        <w:tc>
          <w:tcPr>
            <w:tcW w:type="dxa" w:w="3000"/>
          </w:tcPr>
          <w:p>
            <w:r>
              <w:t>AGC SHIP Best Practices Handbook Ch. 4</w:t>
            </w:r>
          </w:p>
        </w:tc>
        <w:tc>
          <w:tcPr>
            <w:tcW w:type="dxa" w:w="3000"/>
          </w:tcPr>
          <w:p>
            <w:r/>
          </w:p>
        </w:tc>
      </w:tr>
    </w:tbl>
    <w:p>
      <w:pPr>
        <w:pStyle w:val="Heading1"/>
      </w:pPr>
      <w:r>
        <w:t>2. Purpose</w:t>
      </w:r>
    </w:p>
    <w:p>
      <w:r>
        <w:t>This policy establishes the framework for proactive safety planning prior to the commencement of any work activities. It aims to identify and mitigate potential hazards, ensuring a safe working environment for all personnel and preventing accidents and injuries on MH Construction job sites.</w:t>
      </w:r>
    </w:p>
    <w:p>
      <w:pPr>
        <w:pStyle w:val="Heading1"/>
      </w:pPr>
      <w:r>
        <w:t>3. Scope</w:t>
      </w:r>
    </w:p>
    <w:p>
      <w:r>
        <w:t>This program applies to all MH Construction employees, subcontractors, vendors, and visitors engaged in or present on any MH Construction project site. Adherence to these guidelines is mandatory to maintain a consistent standard of safety across all operations.</w:t>
      </w:r>
    </w:p>
    <w:p>
      <w:pPr>
        <w:pStyle w:val="Heading1"/>
      </w:pPr>
      <w:r>
        <w:t>4. Definitions</w:t>
      </w:r>
    </w:p>
    <w:tbl>
      <w:tblPr>
        <w:tblStyle w:val="TableGrid"/>
        <w:tblW w:type="auto" w:w="0"/>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Job Hazard Analysis (JHA)</w:t>
            </w:r>
          </w:p>
        </w:tc>
        <w:tc>
          <w:tcPr>
            <w:tcW w:type="dxa" w:w="4500"/>
          </w:tcPr>
          <w:p>
            <w:r>
              <w:t>A systematic process to identify potential hazards of a job or task, recommend corrective actions, and develop safe work procedures.</w:t>
            </w:r>
          </w:p>
        </w:tc>
      </w:tr>
      <w:tr>
        <w:tc>
          <w:tcPr>
            <w:tcW w:type="dxa" w:w="4500"/>
          </w:tcPr>
          <w:p>
            <w:r>
              <w:t>Competent Person</w:t>
            </w:r>
          </w:p>
        </w:tc>
        <w:tc>
          <w:tcPr>
            <w:tcW w:type="dxa" w:w="4500"/>
          </w:tcPr>
          <w:p>
            <w:r>
              <w:t>One who is capable of identifying existing and predictable hazards in the surroundings or working conditions which are unsanitary, hazardous, or dangerous to employees, and who has authorization to take prompt corrective measures to eliminate them.</w:t>
            </w:r>
          </w:p>
        </w:tc>
      </w:tr>
      <w:tr>
        <w:tc>
          <w:tcPr>
            <w:tcW w:type="dxa" w:w="4500"/>
          </w:tcPr>
          <w:p>
            <w:r>
              <w:t>Pre-job Safety Meeting</w:t>
            </w:r>
          </w:p>
        </w:tc>
        <w:tc>
          <w:tcPr>
            <w:tcW w:type="dxa" w:w="4500"/>
          </w:tcPr>
          <w:p>
            <w:r>
              <w:t>A meeting conducted before the start of a job or specific task to discuss potential hazards, safety procedures, and assign responsibilities.</w:t>
            </w:r>
          </w:p>
        </w:tc>
      </w:tr>
      <w:tr>
        <w:tc>
          <w:tcPr>
            <w:tcW w:type="dxa" w:w="4500"/>
          </w:tcPr>
          <w:p>
            <w:r>
              <w:t>Site-Specific Safety Plan (SSSP)</w:t>
            </w:r>
          </w:p>
        </w:tc>
        <w:tc>
          <w:tcPr>
            <w:tcW w:type="dxa" w:w="4500"/>
          </w:tcPr>
          <w:p>
            <w:r>
              <w:t>A comprehensive document outlining the specific safety policies, procedures, and responsibilities for a particular construction project.</w:t>
            </w:r>
          </w:p>
        </w:tc>
      </w:tr>
      <w:tr>
        <w:tc>
          <w:tcPr>
            <w:tcW w:type="dxa" w:w="4500"/>
          </w:tcPr>
          <w:p>
            <w:r>
              <w:t>Near Miss</w:t>
            </w:r>
          </w:p>
        </w:tc>
        <w:tc>
          <w:tcPr>
            <w:tcW w:type="dxa" w:w="4500"/>
          </w:tcPr>
          <w:p>
            <w:r>
              <w:t>An unplanned event that did not result in injury, illness, or damage but had the potential to do so.</w:t>
            </w:r>
          </w:p>
        </w:tc>
      </w:tr>
    </w:tbl>
    <w:p>
      <w:pPr>
        <w:pStyle w:val="Heading1"/>
      </w:pPr>
      <w:r>
        <w:t>5. Responsibilities</w:t>
      </w:r>
    </w:p>
    <w:p>
      <w:pPr>
        <w:pStyle w:val="Heading2"/>
      </w:pPr>
      <w:r>
        <w:t>5.1 Company/Management</w:t>
      </w:r>
    </w:p>
    <w:p>
      <w:pPr>
        <w:pStyle w:val="ListBullet"/>
      </w:pPr>
      <w:r>
        <w:t>- Provide necessary resources for safety planning and implementation.</w:t>
        <w:br/>
        <w:t>- Ensure all projects have adequate safety oversight and support.</w:t>
        <w:br/>
        <w:t>- Establish and maintain a culture of safety throughout the organization.</w:t>
        <w:br/>
        <w:t>- Review and approve Site-Specific Safety Plans (SSSPs).</w:t>
      </w:r>
    </w:p>
    <w:p>
      <w:pPr>
        <w:pStyle w:val="Heading2"/>
      </w:pPr>
      <w:r>
        <w:t>5.2 Supervisor/Foreman</w:t>
      </w:r>
    </w:p>
    <w:p>
      <w:pPr>
        <w:pStyle w:val="ListBullet"/>
      </w:pPr>
      <w:r>
        <w:t>- Conduct and document Job Hazard Analyses (JHAs) for all tasks.</w:t>
        <w:br/>
        <w:t>- Lead pre-job safety meetings and toolbox talks.</w:t>
        <w:br/>
        <w:t>- Ensure all personnel understand and follow safety procedures.</w:t>
        <w:br/>
        <w:t>- Implement corrective actions for identified hazards.</w:t>
        <w:br/>
        <w:t>- Verify subcontractor compliance with safety requirements.</w:t>
      </w:r>
    </w:p>
    <w:p>
      <w:pPr>
        <w:pStyle w:val="Heading2"/>
      </w:pPr>
      <w:r>
        <w:t>5.3 Employee</w:t>
      </w:r>
    </w:p>
    <w:p>
      <w:pPr>
        <w:pStyle w:val="ListBullet"/>
      </w:pPr>
      <w:r>
        <w:t>- Participate actively in safety planning and meetings.</w:t>
        <w:br/>
        <w:t>- Understand and adhere to all safety policies and procedures.</w:t>
        <w:br/>
        <w:t>- Report all hazards, incidents, and near misses immediately.</w:t>
        <w:br/>
        <w:t>- Use appropriate personal protective equipment (PPE).</w:t>
      </w:r>
    </w:p>
    <w:p>
      <w:pPr>
        <w:pStyle w:val="Heading2"/>
      </w:pPr>
      <w:r>
        <w:t>5.4 Subcontractor</w:t>
      </w:r>
    </w:p>
    <w:p>
      <w:pPr>
        <w:pStyle w:val="ListBullet"/>
      </w:pPr>
      <w:r>
        <w:t>- Develop and implement their own safety programs compliant with OSHA, WISHA, and MHC requirements.</w:t>
        <w:br/>
        <w:t>- Provide competent personnel for all tasks.</w:t>
        <w:br/>
        <w:t>- Coordinate safety planning with MH Construction supervisors.</w:t>
        <w:br/>
        <w:t>- Ensure their employees are trained and follow all safety protocols.</w:t>
      </w:r>
    </w:p>
    <w:p>
      <w:pPr>
        <w:pStyle w:val="Heading1"/>
      </w:pPr>
      <w:r>
        <w:t>6. Procedures / Requirements</w:t>
      </w:r>
    </w:p>
    <w:p>
      <w:pPr>
        <w:pStyle w:val="Heading2"/>
      </w:pPr>
      <w:r>
        <w:t>6.1 Pre-Job Hazard Assessment</w:t>
      </w:r>
    </w:p>
    <w:p>
      <w:pPr>
        <w:pStyle w:val="ListNumber"/>
      </w:pPr>
      <w:r>
        <w:t>1. Before commencing any new project or task, a comprehensive hazard assessment shall be conducted by a Competent Person. This assessment will identify potential safety and health risks associated with the work.</w:t>
        <w:br/>
        <w:t>2. The assessment shall consider all aspects of the job, including but not limited to, equipment, materials, work environment, and personnel. Per 29 CFR 1926.20(b)(1), employers must initiate and maintain accident prevention programs.</w:t>
      </w:r>
    </w:p>
    <w:p>
      <w:pPr>
        <w:pStyle w:val="Heading2"/>
      </w:pPr>
      <w:r>
        <w:t>6.2 Job Hazard Analysis (JHA) Development</w:t>
      </w:r>
    </w:p>
    <w:p>
      <w:pPr>
        <w:pStyle w:val="ListNumber"/>
      </w:pPr>
      <w:r>
        <w:t>1. For each distinct task, a Job Hazard Analysis (JHA) must be developed. The JHA will break down the task into steps, identify hazards at each step, and prescribe control measures.</w:t>
        <w:br/>
        <w:t>2. JHAs must be reviewed and approved by the project supervisor and communicated to all affected employees prior to task execution. Refer to AGC JHA Guidelines for best practices.</w:t>
      </w:r>
    </w:p>
    <w:p>
      <w:pPr>
        <w:pStyle w:val="Heading2"/>
      </w:pPr>
      <w:r>
        <w:t>6.3 Site-Specific Safety Plan (SSSP)</w:t>
      </w:r>
    </w:p>
    <w:p>
      <w:pPr>
        <w:pStyle w:val="ListNumber"/>
      </w:pPr>
      <w:r>
        <w:t>1. A Site-Specific Safety Plan (SSSP) shall be developed for each project, detailing the unique safety requirements, emergency procedures, and roles for that site.</w:t>
        <w:br/>
        <w:t>2. The SSSP must be accessible on-site and reviewed with all personnel. This aligns with WAC 296-155-110(3) regarding Accident Prevention Program Planning.</w:t>
      </w:r>
    </w:p>
    <w:p>
      <w:pPr>
        <w:pStyle w:val="Heading2"/>
      </w:pPr>
      <w:r>
        <w:t>6.4 Pre-Job Safety Meetings</w:t>
      </w:r>
    </w:p>
    <w:p>
      <w:pPr>
        <w:pStyle w:val="ListNumber"/>
      </w:pPr>
      <w:r>
        <w:t>1. Prior to the start of any new project or significant phase, a pre-job safety meeting shall be held with all involved personnel, including subcontractors.</w:t>
        <w:br/>
        <w:t>2. The meeting will cover the SSSP, relevant JHAs, emergency contacts, and site-specific hazards. Per 29 CFR 1926.21(b), employers are responsible for instructing employees in the recognition and avoidance of unsafe conditions.</w:t>
      </w:r>
    </w:p>
    <w:p>
      <w:pPr>
        <w:pStyle w:val="Heading2"/>
      </w:pPr>
      <w:r>
        <w:t>6.5 Subcontractor Safety Integration</w:t>
      </w:r>
    </w:p>
    <w:p>
      <w:pPr>
        <w:pStyle w:val="ListNumber"/>
      </w:pPr>
      <w:r>
        <w:t>1. All subcontractors must submit their safety programs and relevant JHAs for review and approval by MH Construction prior to mobilization.</w:t>
        <w:br/>
        <w:t>2. Subcontractors are required to participate in MH Construction's safety meetings and adhere to the project's SSSP. This is critical for compliance with WAC 296-155-035 General Requirements.</w:t>
      </w:r>
    </w:p>
    <w:p>
      <w:pPr>
        <w:pStyle w:val="Heading2"/>
      </w:pPr>
      <w:r>
        <w:t>6.6 Emergency Preparedness</w:t>
      </w:r>
    </w:p>
    <w:p>
      <w:pPr>
        <w:pStyle w:val="ListNumber"/>
      </w:pPr>
      <w:r>
        <w:t>1. Emergency response procedures, including evacuation routes, assembly points, and first aid locations, shall be clearly defined in the SSSP and communicated during pre-job meetings.</w:t>
        <w:br/>
        <w:t>2. Emergency contact information for all key personnel and local emergency services must be readily available on site.</w:t>
      </w:r>
    </w:p>
    <w:p>
      <w:pPr>
        <w:pStyle w:val="Heading1"/>
      </w:pPr>
      <w:r>
        <w:t>7. Training Requirements</w:t>
      </w:r>
    </w:p>
    <w:p>
      <w:r>
        <w:t>All employees, supervisors, and foremen involved in pre-job safety planning activities must receive initial and annual refresher training on hazard recognition, JHA development, and SSSP implementation. Training documentation, including dates, topics, and attendees, shall be maintained by the Safety Officer. Specific training mandates from OSHA 29 CFR 1926.21(b) and WAC 296-155-110(3) must be met.</w:t>
      </w:r>
    </w:p>
    <w:p>
      <w:pPr>
        <w:pStyle w:val="Heading1"/>
      </w:pPr>
      <w:r>
        <w:t>8. Inspection and Enforcement</w:t>
      </w:r>
    </w:p>
    <w:p>
      <w:r>
        <w:t>Compliance with pre-job safety planning procedures will be monitored through regular site inspections and audits conducted by the Safety Officer or designated Competent Person. Any non-compliance or deficiencies identified will result in immediate corrective action, documented and tracked to completion. Failure to adhere to these procedures may lead to disciplinary action as outlined in the Violation Consequences section.</w:t>
      </w:r>
    </w:p>
    <w:p>
      <w:pPr>
        <w:pStyle w:val="Heading1"/>
      </w:pPr>
      <w:r>
        <w:t>9. Recordkeeping</w:t>
      </w:r>
    </w:p>
    <w:p>
      <w:r>
        <w:t>The following records related to pre-job safety planning shall be maintained for a minimum of five years: Job Hazard Analyses (JHAs), Site-Specific Safety Plans (SSSPs), pre-job safety meeting minutes, and hazard assessment reports. The Safety Officer is responsible for the secure retention and accessibility of these documents.</w:t>
      </w:r>
    </w:p>
    <w:p>
      <w:pPr>
        <w:pStyle w:val="Heading1"/>
      </w:pPr>
      <w:r>
        <w:t>10. Violation Consequences</w:t>
      </w:r>
    </w:p>
    <w:p>
      <w:r>
        <w:t>Any violation of the Pre-job Safety Planning policy will be subject to MH Construction's progressive disciplinary policy. This may include verbal warnings, written warnings, suspension, and ultimately, termination of employment or contract. The severity of the disciplinary action will depend on the nature and frequency of the violation, as well as its potential impact on safety.</w:t>
      </w:r>
    </w:p>
    <w:p>
      <w:pPr>
        <w:pStyle w:val="Heading1"/>
      </w:pPr>
      <w:r>
        <w:t>11. References</w:t>
      </w:r>
    </w:p>
    <w:p>
      <w:pPr>
        <w:pStyle w:val="ListBullet"/>
      </w:pPr>
      <w:r>
        <w:t>OSHA: 29 CFR 1926.20(b)(1) - Initiation and maintenance of programs</w:t>
      </w:r>
    </w:p>
    <w:p>
      <w:pPr>
        <w:pStyle w:val="ListBullet"/>
      </w:pPr>
      <w:r>
        <w:t>OSHA: 29 CFR 1926.21(b) - Safety training and education</w:t>
      </w:r>
    </w:p>
    <w:p>
      <w:pPr>
        <w:pStyle w:val="ListBullet"/>
      </w:pPr>
      <w:r>
        <w:t>WISHA: WAC 296-155-110(3) - Accident Prevention Program Planning</w:t>
      </w:r>
    </w:p>
    <w:p>
      <w:pPr>
        <w:pStyle w:val="ListBullet"/>
      </w:pPr>
      <w:r>
        <w:t>WISHA: WAC 296-155-035 - General Requirements</w:t>
      </w:r>
    </w:p>
    <w:p>
      <w:pPr>
        <w:pStyle w:val="ListBullet"/>
      </w:pPr>
      <w:r>
        <w:t>AGC: JHA Guidelines</w:t>
      </w:r>
    </w:p>
    <w:p>
      <w:pPr>
        <w:pStyle w:val="ListBullet"/>
      </w:pPr>
      <w:r>
        <w:t>AGC: SHIP Best Practices Handbook Ch. 4</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C1D2302-6FA7-425C-A65F-CB3C4542398C}"/>
</file>

<file path=customXml/itemProps3.xml><?xml version="1.0" encoding="utf-8"?>
<ds:datastoreItem xmlns:ds="http://schemas.openxmlformats.org/officeDocument/2006/customXml" ds:itemID="{2DCBD9C0-EB1B-4F33-ADC1-97E94F2C38E5}"/>
</file>

<file path=customXml/itemProps4.xml><?xml version="1.0" encoding="utf-8"?>
<ds:datastoreItem xmlns:ds="http://schemas.openxmlformats.org/officeDocument/2006/customXml" ds:itemID="{A6514CA2-3E59-4DF3-BA03-479CA1D0F97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