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MH CONSTRUCTION, INC.</w:t>
      </w:r>
    </w:p>
    <w:p>
      <w:pPr>
        <w:pStyle w:val="Normal_Arial_11"/>
      </w:pPr>
      <w:r>
        <w:t>Industrial Safety &amp; Health Program (MISH)</w:t>
      </w:r>
    </w:p>
    <w:p>
      <w:pPr>
        <w:pStyle w:val="Normal_Arial_11"/>
      </w:pPr>
      <w:r>
        <w:t>MISH 13 | Fire Prevention</w:t>
      </w:r>
    </w:p>
    <w:p>
      <w:pPr>
        <w:pStyle w:val="Normal_Arial_11"/>
      </w:pPr>
      <w:r>
        <w:t>Revision 3 | Effective: 04/07/2026 | Safety Officer: Matt Ramsey</w:t>
      </w:r>
    </w:p>
    <w:p>
      <w:r>
        <w:br/>
      </w:r>
    </w:p>
    <w:p>
      <w:r>
        <w:br/>
      </w:r>
    </w:p>
    <w:p>
      <w:pPr>
        <w:spacing w:after="240" w:before="240" w:line="360" w:lineRule="auto"/>
        <w:ind w:left="0" w:right="0" w:firstLine="0"/>
      </w:pPr>
    </w:p>
    <w:p>
      <w:pPr>
        <w:pStyle w:val="Normal_Arial_11"/>
      </w:pPr>
      <w:r>
        <w:br/>
      </w:r>
    </w:p>
    <w:p>
      <w:pPr>
        <w:pStyle w:val="Normal_Arial_11"/>
      </w:pPr>
      <w:r>
        <w:br/>
      </w:r>
    </w:p>
    <w:p>
      <w:pPr>
        <w:pStyle w:val="Heading1_Arial_12"/>
      </w:pPr>
      <w:r>
        <w:t>1. 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 1926 Subpart F</w:t>
            </w:r>
          </w:p>
        </w:tc>
        <w:tc>
          <w:tcPr>
            <w:tcW w:type="dxa" w:w="3000"/>
          </w:tcPr>
          <w:p>
            <w:r/>
          </w:p>
        </w:tc>
      </w:tr>
      <w:tr>
        <w:tc>
          <w:tcPr>
            <w:tcW w:type="dxa" w:w="3000"/>
          </w:tcPr>
          <w:p>
            <w:r>
              <w:t>OSHA</w:t>
            </w:r>
          </w:p>
        </w:tc>
        <w:tc>
          <w:tcPr>
            <w:tcW w:type="dxa" w:w="3000"/>
          </w:tcPr>
          <w:p>
            <w:r>
              <w:t>29 CFR 1926.150</w:t>
            </w:r>
          </w:p>
        </w:tc>
        <w:tc>
          <w:tcPr>
            <w:tcW w:type="dxa" w:w="3000"/>
          </w:tcPr>
          <w:p>
            <w:r>
              <w:t>Fire Protection</w:t>
            </w:r>
          </w:p>
        </w:tc>
      </w:tr>
      <w:tr>
        <w:tc>
          <w:tcPr>
            <w:tcW w:type="dxa" w:w="3000"/>
          </w:tcPr>
          <w:p>
            <w:r>
              <w:t>OSHA</w:t>
            </w:r>
          </w:p>
        </w:tc>
        <w:tc>
          <w:tcPr>
            <w:tcW w:type="dxa" w:w="3000"/>
          </w:tcPr>
          <w:p>
            <w:r>
              <w:t>29 CFR 1926.151</w:t>
            </w:r>
          </w:p>
        </w:tc>
        <w:tc>
          <w:tcPr>
            <w:tcW w:type="dxa" w:w="3000"/>
          </w:tcPr>
          <w:p>
            <w:r>
              <w:t>Fire Prevention</w:t>
            </w:r>
          </w:p>
        </w:tc>
      </w:tr>
      <w:tr>
        <w:tc>
          <w:tcPr>
            <w:tcW w:type="dxa" w:w="3000"/>
          </w:tcPr>
          <w:p>
            <w:r>
              <w:t>WISHA</w:t>
            </w:r>
          </w:p>
        </w:tc>
        <w:tc>
          <w:tcPr>
            <w:tcW w:type="dxa" w:w="3000"/>
          </w:tcPr>
          <w:p>
            <w:r>
              <w:t>WAC 296-155-260</w:t>
            </w:r>
          </w:p>
        </w:tc>
        <w:tc>
          <w:tcPr>
            <w:tcW w:type="dxa" w:w="3000"/>
          </w:tcPr>
          <w:p>
            <w:r>
              <w:t>Fire Protection</w:t>
            </w:r>
          </w:p>
        </w:tc>
      </w:tr>
      <w:tr>
        <w:tc>
          <w:tcPr>
            <w:tcW w:type="dxa" w:w="3000"/>
          </w:tcPr>
          <w:p>
            <w:r>
              <w:t>WISHA</w:t>
            </w:r>
          </w:p>
        </w:tc>
        <w:tc>
          <w:tcPr>
            <w:tcW w:type="dxa" w:w="3000"/>
          </w:tcPr>
          <w:p>
            <w:r>
              <w:t>WAC 296-155-265</w:t>
            </w:r>
          </w:p>
        </w:tc>
        <w:tc>
          <w:tcPr>
            <w:tcW w:type="dxa" w:w="3000"/>
          </w:tcPr>
          <w:p>
            <w:r>
              <w:t>Fire Prevention</w:t>
            </w:r>
          </w:p>
        </w:tc>
      </w:tr>
      <w:tr>
        <w:tc>
          <w:tcPr>
            <w:tcW w:type="dxa" w:w="3000"/>
          </w:tcPr>
          <w:p>
            <w:r>
              <w:t>WISHA</w:t>
            </w:r>
          </w:p>
        </w:tc>
        <w:tc>
          <w:tcPr>
            <w:tcW w:type="dxa" w:w="3000"/>
          </w:tcPr>
          <w:p>
            <w:r>
              <w:t>WAC 296-155-250</w:t>
            </w:r>
          </w:p>
        </w:tc>
        <w:tc>
          <w:tcPr>
            <w:tcW w:type="dxa" w:w="3000"/>
          </w:tcPr>
          <w:p>
            <w:r>
              <w:t>Definitions</w:t>
            </w:r>
          </w:p>
        </w:tc>
      </w:tr>
      <w:tr>
        <w:tc>
          <w:tcPr>
            <w:tcW w:type="dxa" w:w="3000"/>
          </w:tcPr>
          <w:p>
            <w:r>
              <w:t>AGC</w:t>
            </w:r>
          </w:p>
        </w:tc>
        <w:tc>
          <w:tcPr>
            <w:tcW w:type="dxa" w:w="3000"/>
          </w:tcPr>
          <w:p>
            <w:r>
              <w:t>Safety and Health Manual Ch. 8 Fire Prevention</w:t>
            </w:r>
          </w:p>
        </w:tc>
        <w:tc>
          <w:tcPr>
            <w:tcW w:type="dxa" w:w="3000"/>
          </w:tcPr>
          <w:p>
            <w:r/>
          </w:p>
        </w:tc>
      </w:tr>
    </w:tbl>
    <w:p>
      <w:pPr>
        <w:pStyle w:val="Heading1_Arial_12"/>
      </w:pPr>
      <w:r>
        <w:t>2. Purpose</w:t>
      </w:r>
    </w:p>
    <w:p>
      <w:pPr>
        <w:pStyle w:val="Normal_Arial_11"/>
      </w:pPr>
      <w:r>
        <w:t>This policy establishes comprehensive guidelines for fire prevention and protection on all MH Construction, Inc. job sites. Its purpose is to safeguard personnel, property, and the environment from the hazards of fire, ensuring compliance with all applicable federal and state regulations.</w:t>
      </w:r>
    </w:p>
    <w:p>
      <w:pPr>
        <w:pStyle w:val="Normal_Arial_11"/>
      </w:pPr>
      <w:r>
        <w:t>By implementing these measures, we aim to minimize fire risks, provide effective response protocols, and promote a culture of safety among all site personnel.</w:t>
      </w:r>
    </w:p>
    <w:p>
      <w:pPr>
        <w:pStyle w:val="Heading1_Arial_12"/>
      </w:pPr>
      <w:r>
        <w:t>3. Scope</w:t>
      </w:r>
    </w:p>
    <w:p>
      <w:pPr>
        <w:pStyle w:val="Normal_Arial_11"/>
      </w:pPr>
      <w:r>
        <w:t>This policy applies to all MH Construction, Inc. employees, subcontractors, vendors, and visitors present on any MH Construction, Inc. job site. Adherence to these guidelines is mandatory for all individuals involved in project operations.</w:t>
      </w:r>
    </w:p>
    <w:p>
      <w:pPr>
        <w:pStyle w:val="Heading1_Arial_12"/>
      </w:pPr>
      <w:r>
        <w:t>4. 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Combustible Material</w:t>
            </w:r>
          </w:p>
        </w:tc>
        <w:tc>
          <w:tcPr>
            <w:tcW w:type="dxa" w:w="4500"/>
          </w:tcPr>
          <w:p>
            <w:r>
              <w:t>Any material that can ignite and burn, creating a fire hazard. This includes wood, paper, fabrics, and certain liquids.</w:t>
            </w:r>
          </w:p>
        </w:tc>
      </w:tr>
      <w:tr>
        <w:tc>
          <w:tcPr>
            <w:tcW w:type="dxa" w:w="4500"/>
          </w:tcPr>
          <w:p>
            <w:r>
              <w:t>Flammable Liquid</w:t>
            </w:r>
          </w:p>
        </w:tc>
        <w:tc>
          <w:tcPr>
            <w:tcW w:type="dxa" w:w="4500"/>
          </w:tcPr>
          <w:p>
            <w:r>
              <w:t>Any liquid having a flashpoint below 100°F (37.8°C), such as gasoline, propane, and certain solvents. These liquids pose a significant fire and explosion risk.</w:t>
            </w:r>
          </w:p>
        </w:tc>
      </w:tr>
      <w:tr>
        <w:tc>
          <w:tcPr>
            <w:tcW w:type="dxa" w:w="4500"/>
          </w:tcPr>
          <w:p>
            <w:r>
              <w:t>Fire Watch</w:t>
            </w:r>
          </w:p>
        </w:tc>
        <w:tc>
          <w:tcPr>
            <w:tcW w:type="dxa" w:w="4500"/>
          </w:tcPr>
          <w:p>
            <w:r>
              <w:t>A designated person or persons responsible for monitoring hot work operations (e.g., welding, cutting) and immediately extinguishing any fires that may occur.</w:t>
            </w:r>
          </w:p>
        </w:tc>
      </w:tr>
      <w:tr>
        <w:tc>
          <w:tcPr>
            <w:tcW w:type="dxa" w:w="4500"/>
          </w:tcPr>
          <w:p>
            <w:r>
              <w:t>Hot Work</w:t>
            </w:r>
          </w:p>
        </w:tc>
        <w:tc>
          <w:tcPr>
            <w:tcW w:type="dxa" w:w="4500"/>
          </w:tcPr>
          <w:p>
            <w:r>
              <w:t>Any operation producing flames, sparks, or heat, including welding, cutting, grinding, and torch operations, which can ignite combustible materials.</w:t>
            </w:r>
          </w:p>
        </w:tc>
      </w:tr>
      <w:tr>
        <w:tc>
          <w:tcPr>
            <w:tcW w:type="dxa" w:w="4500"/>
          </w:tcPr>
          <w:p>
            <w:r>
              <w:t>Ignition Source</w:t>
            </w:r>
          </w:p>
        </w:tc>
        <w:tc>
          <w:tcPr>
            <w:tcW w:type="dxa" w:w="4500"/>
          </w:tcPr>
          <w:p>
            <w:r>
              <w:t>Anything that can cause a fire, including open flames, sparks, hot surfaces, electrical equipment, and smoking materials.</w:t>
            </w:r>
          </w:p>
        </w:tc>
      </w:tr>
    </w:tbl>
    <w:p>
      <w:pPr>
        <w:pStyle w:val="Heading1_Arial_12"/>
      </w:pPr>
      <w:r>
        <w:t>5. Responsibilities</w:t>
      </w:r>
    </w:p>
    <w:p>
      <w:pPr>
        <w:pStyle w:val="Heading2_Arial_12"/>
      </w:pPr>
      <w:r>
        <w:t>5.1 Company/Management Responsibilities</w:t>
      </w:r>
    </w:p>
    <w:p>
      <w:pPr>
        <w:pStyle w:val="ListBullet"/>
      </w:pPr>
      <w:r>
        <w:t>Provide a safe work environment free from recognized fire hazards.</w:t>
      </w:r>
    </w:p>
    <w:p>
      <w:pPr>
        <w:pStyle w:val="ListBullet"/>
      </w:pPr>
      <w:r>
        <w:t>Ensure adequate fire protection equipment is available and maintained.</w:t>
      </w:r>
    </w:p>
    <w:p>
      <w:pPr>
        <w:pStyle w:val="ListBullet"/>
      </w:pPr>
      <w:r>
        <w:t>Establish and enforce fire prevention policies and procedures.</w:t>
      </w:r>
    </w:p>
    <w:p>
      <w:pPr>
        <w:pStyle w:val="ListBullet"/>
      </w:pPr>
      <w:r>
        <w:t>Provide necessary training and resources for fire safety.</w:t>
      </w:r>
    </w:p>
    <w:p>
      <w:pPr>
        <w:pStyle w:val="Heading2_Arial_12"/>
      </w:pPr>
      <w:r>
        <w:t>5.2 Supervisor/Foreman Responsibilities</w:t>
      </w:r>
    </w:p>
    <w:p>
      <w:pPr>
        <w:pStyle w:val="ListBullet"/>
      </w:pPr>
      <w:r>
        <w:t>Implement and enforce fire prevention plans on site.</w:t>
      </w:r>
    </w:p>
    <w:p>
      <w:pPr>
        <w:pStyle w:val="ListBullet"/>
      </w:pPr>
      <w:r>
        <w:t>Conduct regular inspections to identify and mitigate fire hazards.</w:t>
      </w:r>
    </w:p>
    <w:p>
      <w:pPr>
        <w:pStyle w:val="ListBullet"/>
      </w:pPr>
      <w:r>
        <w:t>Ensure all personnel are aware of fire safety procedures and emergency exits.</w:t>
      </w:r>
    </w:p>
    <w:p>
      <w:pPr>
        <w:pStyle w:val="ListBullet"/>
      </w:pPr>
      <w:r>
        <w:t>Oversee hot work operations and ensure proper permits and fire watch are in place.</w:t>
      </w:r>
    </w:p>
    <w:p>
      <w:pPr>
        <w:pStyle w:val="Heading2_Arial_12"/>
      </w:pPr>
      <w:r>
        <w:t>5.3 Employee Responsibilities</w:t>
      </w:r>
    </w:p>
    <w:p>
      <w:pPr>
        <w:pStyle w:val="ListBullet"/>
      </w:pPr>
      <w:r>
        <w:t>Adhere to all fire prevention policies and procedures.</w:t>
      </w:r>
    </w:p>
    <w:p>
      <w:pPr>
        <w:pStyle w:val="ListBullet"/>
      </w:pPr>
      <w:r>
        <w:t>Report any fire hazards or unsafe conditions immediately to a supervisor.</w:t>
      </w:r>
    </w:p>
    <w:p>
      <w:pPr>
        <w:pStyle w:val="ListBullet"/>
      </w:pPr>
      <w:r>
        <w:t>Know the location of fire extinguishers and emergency exits.</w:t>
      </w:r>
    </w:p>
    <w:p>
      <w:pPr>
        <w:pStyle w:val="ListBullet"/>
      </w:pPr>
      <w:r>
        <w:t>Participate in all required fire safety training.</w:t>
      </w:r>
    </w:p>
    <w:p>
      <w:pPr>
        <w:pStyle w:val="Heading2_Arial_12"/>
      </w:pPr>
      <w:r>
        <w:t>5.4 Subcontractor Responsibilities</w:t>
      </w:r>
    </w:p>
    <w:p>
      <w:pPr>
        <w:pStyle w:val="ListBullet"/>
      </w:pPr>
      <w:r>
        <w:t>Comply with all MH Construction, Inc. fire prevention policies and procedures.</w:t>
      </w:r>
    </w:p>
    <w:p>
      <w:pPr>
        <w:pStyle w:val="ListBullet"/>
      </w:pPr>
      <w:r>
        <w:t>Ensure their employees receive appropriate fire safety training.</w:t>
      </w:r>
    </w:p>
    <w:p>
      <w:pPr>
        <w:pStyle w:val="ListBullet"/>
      </w:pPr>
      <w:r>
        <w:t>Provide and maintain their own fire protection equipment as required by their scope of work and this policy.</w:t>
      </w:r>
    </w:p>
    <w:p>
      <w:pPr>
        <w:pStyle w:val="Heading1_Arial_12"/>
      </w:pPr>
      <w:r>
        <w:t>6. Procedures / Requirements</w:t>
      </w:r>
    </w:p>
    <w:p>
      <w:pPr>
        <w:pStyle w:val="Heading2_Arial_12"/>
      </w:pPr>
      <w:r>
        <w:t>6.1 General Housekeeping and Storage</w:t>
      </w:r>
    </w:p>
    <w:p>
      <w:pPr>
        <w:pStyle w:val="ListNumber"/>
      </w:pPr>
      <w:r>
        <w:t>Maintain clean and orderly work areas, free from accumulations of combustible waste materials. Per 29 CFR 1926.25(c).</w:t>
      </w:r>
    </w:p>
    <w:p>
      <w:pPr>
        <w:pStyle w:val="ListNumber"/>
      </w:pPr>
      <w:r>
        <w:t>Store combustible materials in designated areas, away from ignition sources and at least 10 feet from buildings or structures. Per 29 CFR 1926.150(c)(1)(vi).</w:t>
      </w:r>
    </w:p>
    <w:p>
      <w:pPr>
        <w:pStyle w:val="ListNumber"/>
      </w:pPr>
      <w:r>
        <w:t>Ensure proper ventilation in areas where flammable or combustible materials are stored or used. Per WAC 296-155-265(1).</w:t>
      </w:r>
    </w:p>
    <w:p>
      <w:pPr>
        <w:pStyle w:val="Heading2_Arial_12"/>
      </w:pPr>
      <w:r>
        <w:t>6.2 Flammable and Combustible Liquids</w:t>
      </w:r>
    </w:p>
    <w:p>
      <w:pPr>
        <w:pStyle w:val="ListNumber"/>
      </w:pPr>
      <w:r>
        <w:t>Store flammable liquids in approved, labeled containers and cabinets. Per 29 CFR 1926.152(a)(1).</w:t>
      </w:r>
    </w:p>
    <w:p>
      <w:pPr>
        <w:pStyle w:val="ListNumber"/>
      </w:pPr>
      <w:r>
        <w:t>Dispense flammable liquids only in well-ventilated areas, away from ignition sources. Per 29 CFR 1926.152(e)(1).</w:t>
      </w:r>
    </w:p>
    <w:p>
      <w:pPr>
        <w:pStyle w:val="ListNumber"/>
      </w:pPr>
      <w:r>
        <w:t>Limit the quantity of flammable liquids stored in work areas to the amount needed for one day's operation. Per WAC 296-155-265(2).</w:t>
      </w:r>
    </w:p>
    <w:p>
      <w:pPr>
        <w:pStyle w:val="Heading2_Arial_12"/>
      </w:pPr>
      <w:r>
        <w:t>6.3 Hot Work Operations</w:t>
      </w:r>
    </w:p>
    <w:p>
      <w:pPr>
        <w:pStyle w:val="ListNumber"/>
      </w:pPr>
      <w:r>
        <w:t>Obtain a hot work permit from the site supervisor before commencing any hot work. Per 29 CFR 1926.352(b).</w:t>
      </w:r>
    </w:p>
    <w:p>
      <w:pPr>
        <w:pStyle w:val="ListNumber"/>
      </w:pPr>
      <w:r>
        <w:t>Ensure a fire watch is present during and for at least 30 minutes after hot work operations, equipped with appropriate fire extinguishing equipment. Per 29 CFR 1926.352(e).</w:t>
      </w:r>
    </w:p>
    <w:p>
      <w:pPr>
        <w:pStyle w:val="ListNumber"/>
      </w:pPr>
      <w:r>
        <w:t>Clear the hot work area of all combustible materials within a 35-foot radius, or protect them with fire-resistant coverings. Per WAC 296-155-265(4).</w:t>
      </w:r>
    </w:p>
    <w:p>
      <w:pPr>
        <w:pStyle w:val="Heading2_Arial_12"/>
      </w:pPr>
      <w:r>
        <w:t>6.4 Fire Extinguishers</w:t>
      </w:r>
    </w:p>
    <w:p>
      <w:pPr>
        <w:pStyle w:val="ListNumber"/>
      </w:pPr>
      <w:r>
        <w:t>Provide appropriate type and number of fire extinguishers based on the hazards present. Per 29 CFR 1926.150(c)(1)(i).</w:t>
      </w:r>
    </w:p>
    <w:p>
      <w:pPr>
        <w:pStyle w:val="ListNumber"/>
      </w:pPr>
      <w:r>
        <w:t>Ensure fire extinguishers are readily accessible, inspected monthly, and maintained annually. Per 29 CFR 1926.150(c)(1)(viii).</w:t>
      </w:r>
    </w:p>
    <w:p>
      <w:pPr>
        <w:pStyle w:val="ListNumber"/>
      </w:pPr>
      <w:r>
        <w:t>Train employees on the proper use of fire extinguishers. Per WAC 296-155-260(4).</w:t>
      </w:r>
    </w:p>
    <w:p>
      <w:pPr>
        <w:pStyle w:val="Heading2_Arial_12"/>
      </w:pPr>
      <w:r>
        <w:t>6.5 Electrical Safety</w:t>
      </w:r>
    </w:p>
    <w:p>
      <w:pPr>
        <w:pStyle w:val="ListNumber"/>
      </w:pPr>
      <w:r>
        <w:t>Ensure all temporary electrical wiring and equipment are installed and maintained in accordance with NFPA 70E and 29 CFR 1926 Subpart K. Per 29 CFR 1926.403.</w:t>
      </w:r>
    </w:p>
    <w:p>
      <w:pPr>
        <w:pStyle w:val="ListNumber"/>
      </w:pPr>
      <w:r>
        <w:t>Avoid overloading electrical circuits and use ground-fault circuit interrupters (GFCIs) for all temporary power. Per WAC 296-155-265(5).</w:t>
      </w:r>
    </w:p>
    <w:p>
      <w:pPr>
        <w:pStyle w:val="ListNumber"/>
      </w:pPr>
      <w:r>
        <w:t>Report any damaged electrical cords, tools, or equipment immediately for repair or replacement.</w:t>
      </w:r>
    </w:p>
    <w:p>
      <w:pPr>
        <w:pStyle w:val="Heading2_Arial_12"/>
      </w:pPr>
      <w:r>
        <w:t>6.6 Emergency Egress and Assembly Points</w:t>
      </w:r>
    </w:p>
    <w:p>
      <w:pPr>
        <w:pStyle w:val="ListNumber"/>
      </w:pPr>
      <w:r>
        <w:t>Maintain clear and unobstructed access to all emergency exits and escape routes. Per 29 CFR 1926.34.</w:t>
      </w:r>
    </w:p>
    <w:p>
      <w:pPr>
        <w:pStyle w:val="ListNumber"/>
      </w:pPr>
      <w:r>
        <w:t>Establish and clearly mark designated assembly points for all personnel in case of a fire or emergency.</w:t>
      </w:r>
    </w:p>
    <w:p>
      <w:pPr>
        <w:pStyle w:val="ListNumber"/>
      </w:pPr>
      <w:r>
        <w:t>Conduct regular drills to ensure all personnel are familiar with emergency evacuation procedures.</w:t>
      </w:r>
    </w:p>
    <w:p>
      <w:pPr>
        <w:pStyle w:val="Heading1_Arial_12"/>
      </w:pPr>
      <w:r>
        <w:t>7. Training Requirements</w:t>
      </w:r>
    </w:p>
    <w:p>
      <w:pPr>
        <w:pStyle w:val="Normal_Arial_11"/>
      </w:pPr>
      <w:r>
        <w:t>All MH Construction, Inc. employees and relevant subcontractors must receive initial and periodic training on fire prevention and protection. Training will cover:</w:t>
      </w:r>
    </w:p>
    <w:p>
      <w:pPr>
        <w:pStyle w:val="ListBullet"/>
      </w:pPr>
      <w:r>
        <w:t>Recognition of fire hazards.</w:t>
      </w:r>
    </w:p>
    <w:p>
      <w:pPr>
        <w:pStyle w:val="ListBullet"/>
      </w:pPr>
      <w:r>
        <w:t>Proper storage and handling of flammable and combustible materials.</w:t>
      </w:r>
    </w:p>
    <w:p>
      <w:pPr>
        <w:pStyle w:val="ListBullet"/>
      </w:pPr>
      <w:r>
        <w:t>Use of fire extinguishing equipment (e.g., fire extinguishers). Per 29 CFR 1926.150(c)(1)(viii) and WAC 296-155-260(4).</w:t>
      </w:r>
    </w:p>
    <w:p>
      <w:pPr>
        <w:pStyle w:val="ListBullet"/>
      </w:pPr>
      <w:r>
        <w:t>Emergency evacuation procedures and assembly points.</w:t>
      </w:r>
    </w:p>
    <w:p>
      <w:pPr>
        <w:pStyle w:val="ListBullet"/>
      </w:pPr>
      <w:r>
        <w:t>Hot work permit procedures and fire watch responsibilities.</w:t>
      </w:r>
    </w:p>
    <w:p>
      <w:pPr>
        <w:pStyle w:val="Normal_Arial_11"/>
      </w:pPr>
      <w:r>
        <w:t>Training frequency will be determined by job function and regulatory requirements, but at a minimum, annually. Documentation of all training sessions, including attendees, topics covered, and dates, will be maintained by the Safety Officer.</w:t>
      </w:r>
    </w:p>
    <w:p>
      <w:pPr>
        <w:pStyle w:val="Heading1_Arial_12"/>
      </w:pPr>
      <w:r>
        <w:t>8. Inspection and Enforcement</w:t>
      </w:r>
    </w:p>
    <w:p>
      <w:pPr>
        <w:pStyle w:val="Normal_Arial_11"/>
      </w:pPr>
      <w:r>
        <w:t>Site supervisors will conduct daily informal inspections and weekly formal inspections to ensure compliance with this fire prevention policy. Any identified deficiencies will be documented, and corrective actions will be implemented promptly. Non-compliance will be addressed through the company's disciplinary action policy.</w:t>
      </w:r>
    </w:p>
    <w:p>
      <w:pPr>
        <w:pStyle w:val="Heading1_Arial_12"/>
      </w:pPr>
      <w:r>
        <w:t>9. Recordkeeping</w:t>
      </w:r>
    </w:p>
    <w:p>
      <w:pPr>
        <w:pStyle w:val="Normal_Arial_11"/>
      </w:pPr>
      <w:r>
        <w:t>The following records will be maintained by the Safety Officer for a minimum of three (3) years:</w:t>
      </w:r>
    </w:p>
    <w:p>
      <w:pPr>
        <w:pStyle w:val="ListBullet"/>
      </w:pPr>
      <w:r>
        <w:t>Fire prevention plans.</w:t>
      </w:r>
    </w:p>
    <w:p>
      <w:pPr>
        <w:pStyle w:val="ListBullet"/>
      </w:pPr>
      <w:r>
        <w:t>Hot work permits.</w:t>
      </w:r>
    </w:p>
    <w:p>
      <w:pPr>
        <w:pStyle w:val="ListBullet"/>
      </w:pPr>
      <w:r>
        <w:t>Fire extinguisher inspection and maintenance logs.</w:t>
      </w:r>
    </w:p>
    <w:p>
      <w:pPr>
        <w:pStyle w:val="ListBullet"/>
      </w:pPr>
      <w:r>
        <w:t>Fire safety training records.</w:t>
      </w:r>
    </w:p>
    <w:p>
      <w:pPr>
        <w:pStyle w:val="ListBullet"/>
      </w:pPr>
      <w:r>
        <w:t>Incident reports related to fire or near-misses.</w:t>
      </w:r>
    </w:p>
    <w:p>
      <w:pPr>
        <w:pStyle w:val="Heading1_Arial_12"/>
      </w:pPr>
      <w:r>
        <w:t>10. Violation Consequences</w:t>
      </w:r>
    </w:p>
    <w:p>
      <w:pPr>
        <w:pStyle w:val="Normal_Arial_11"/>
      </w:pPr>
      <w:r>
        <w:t>Violations of this Fire Prevention policy will result in disciplinary action, up to and including termination of employment or contract, depending on the severity and frequency of the violation. MH Construction, Inc. is committed to maintaining a safe work environment, and non-compliance with safety regulations will not be tolerated. Progressive disciplinary actions will be applied as follows:</w:t>
      </w:r>
    </w:p>
    <w:p>
      <w:pPr>
        <w:pStyle w:val="ListBullet"/>
      </w:pPr>
      <w:r>
        <w:t>First Offense: Verbal warning and retraining.</w:t>
      </w:r>
    </w:p>
    <w:p>
      <w:pPr>
        <w:pStyle w:val="ListBullet"/>
      </w:pPr>
      <w:r>
        <w:t>Second Offense: Written warning and additional training.</w:t>
      </w:r>
    </w:p>
    <w:p>
      <w:pPr>
        <w:pStyle w:val="ListBullet"/>
      </w:pPr>
      <w:r>
        <w:t>Third Offense: Suspension without pay or contract termination.</w:t>
      </w:r>
    </w:p>
    <w:p>
      <w:pPr>
        <w:pStyle w:val="ListBullet"/>
      </w:pPr>
      <w:r>
        <w:t>Severe Violations: Immediate termination or contract termination, especially if gross negligence or willful disregard for safety is demonstrated.</w:t>
      </w:r>
    </w:p>
    <w:p>
      <w:pPr>
        <w:pStyle w:val="Heading1_Arial_12"/>
      </w:pPr>
      <w:r>
        <w:t>11. References</w:t>
      </w:r>
    </w:p>
    <w:p>
      <w:pPr>
        <w:pStyle w:val="ListBullet"/>
      </w:pPr>
      <w:r>
        <w:t>OSHA: 29 CFR 1926 Subpart F</w:t>
      </w:r>
    </w:p>
    <w:p>
      <w:pPr>
        <w:pStyle w:val="ListBullet"/>
      </w:pPr>
      <w:r>
        <w:t>OSHA: 29 CFR 1926.150 Fire Protection</w:t>
      </w:r>
    </w:p>
    <w:p>
      <w:pPr>
        <w:pStyle w:val="ListBullet"/>
      </w:pPr>
      <w:r>
        <w:t>OSHA: 29 CFR 1926.151 Fire Prevention</w:t>
      </w:r>
    </w:p>
    <w:p>
      <w:pPr>
        <w:pStyle w:val="ListBullet"/>
      </w:pPr>
      <w:r>
        <w:t>WISHA: WAC 296-155-260 Fire Protection</w:t>
      </w:r>
    </w:p>
    <w:p>
      <w:pPr>
        <w:pStyle w:val="ListBullet"/>
      </w:pPr>
      <w:r>
        <w:t>WISHA: WAC 296-155-265 Fire Prevention</w:t>
      </w:r>
    </w:p>
    <w:p>
      <w:pPr>
        <w:pStyle w:val="ListBullet"/>
      </w:pPr>
      <w:r>
        <w:t>WISHA: WAC 296-155-250 Definitions</w:t>
      </w:r>
    </w:p>
    <w:p>
      <w:pPr>
        <w:pStyle w:val="ListBullet"/>
      </w:pPr>
      <w:r>
        <w:t>AGC: Safety and Health Manual Ch. 8 Fire Prevention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_Arial_11">
    <w:name w:val="Normal_Arial_11"/>
    <w:rPr>
      <w:rFonts w:ascii="Arial" w:hAnsi="Arial"/>
      <w:sz w:val="22"/>
    </w:rPr>
  </w:style>
  <w:style w:type="paragraph" w:customStyle="1" w:styleId="Heading1_Arial_12">
    <w:name w:val="Heading1_Arial_12"/>
    <w:basedOn w:val="Heading1"/>
    <w:rPr>
      <w:rFonts w:ascii="Arial" w:hAnsi="Arial"/>
      <w:b/>
      <w:sz w:val="24"/>
    </w:rPr>
  </w:style>
  <w:style w:type="paragraph" w:customStyle="1" w:styleId="Heading2_Arial_12">
    <w:name w:val="Heading2_Arial_12"/>
    <w:basedOn w:val="Heading2"/>
    <w:rPr>
      <w:rFonts w:ascii="Arial" w:hAnsi="Arial"/>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CAFB30C-77C7-4689-8DD7-52847BE1E89D}"/>
</file>

<file path=customXml/itemProps3.xml><?xml version="1.0" encoding="utf-8"?>
<ds:datastoreItem xmlns:ds="http://schemas.openxmlformats.org/officeDocument/2006/customXml" ds:itemID="{595A517A-13FA-43D2-9C30-16A0B67BD142}"/>
</file>

<file path=customXml/itemProps4.xml><?xml version="1.0" encoding="utf-8"?>
<ds:datastoreItem xmlns:ds="http://schemas.openxmlformats.org/officeDocument/2006/customXml" ds:itemID="{98F0C12A-7ED8-4DB9-AB9A-66D2C4980A5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