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MH CONSTRUCTION, INC.</w:t>
      </w:r>
    </w:p>
    <w:p>
      <w:pPr>
        <w:pStyle w:val="Normal_Arial_11"/>
        <w:jc w:val="center"/>
      </w:pPr>
      <w:r>
        <w:t>Industrial Safety &amp; Health Program (MISH)</w:t>
      </w:r>
    </w:p>
    <w:p>
      <w:pPr>
        <w:pStyle w:val="Normal_Arial_11"/>
        <w:jc w:val="center"/>
      </w:pPr>
      <w:r>
        <w:t>MISH 18 | Motor Vehicle Safety Program</w:t>
      </w:r>
    </w:p>
    <w:p>
      <w:pPr>
        <w:pStyle w:val="Normal_Arial_11"/>
        <w:jc w:val="center"/>
      </w:pPr>
      <w:r>
        <w:t>Revision 3 | Effective: 04/07/2026 | Safety Officer: Matt Ramsey</w:t>
      </w:r>
    </w:p>
    <w:p>
      <w:pPr>
        <w:pStyle w:val="Normal_Arial_11"/>
        <w:jc w:val="center"/>
      </w:pPr>
      <w:r>
        <w:t>──────────────────────────────────────────────────</w:t>
      </w:r>
    </w:p>
    <w:p>
      <w:pPr>
        <w:pStyle w:val="Heading1_Arial_12"/>
      </w:pPr>
      <w:r>
        <w:t>Regulatory Authority</w:t>
      </w:r>
    </w:p>
    <w:tbl>
      <w:tblPr>
        <w:tblW w:type="auto" w:w="0"/>
        <w:tblLayout w:type="autofit"/>
        <w:tblLook w:firstColumn="1" w:firstRow="1" w:lastColumn="0" w:lastRow="0" w:noHBand="0" w:noVBand="1" w:val="04A0"/>
      </w:tblPr>
      <w:tblGrid>
        <w:gridCol w:w="2160"/>
        <w:gridCol w:w="3600"/>
        <w:gridCol w:w="6480"/>
      </w:tblGrid>
      <w:tr>
        <w:tc>
          <w:tcPr>
            <w:tcW w:type="dxa" w:w="3000"/>
          </w:tcPr>
          <w:p>
            <w:r>
              <w:rPr>
                <w:rFonts w:ascii="Arial" w:hAnsi="Arial"/>
                <w:b/>
                <w:sz w:val="22"/>
              </w:rPr>
              <w:t>Authority</w:t>
            </w:r>
          </w:p>
        </w:tc>
        <w:tc>
          <w:tcPr>
            <w:tcW w:type="dxa" w:w="3000"/>
          </w:tcPr>
          <w:p>
            <w:r>
              <w:rPr>
                <w:rFonts w:ascii="Arial" w:hAnsi="Arial"/>
                <w:b/>
                <w:sz w:val="22"/>
              </w:rPr>
              <w:t>Citation</w:t>
            </w:r>
          </w:p>
        </w:tc>
        <w:tc>
          <w:tcPr>
            <w:tcW w:type="dxa" w:w="3000"/>
          </w:tcPr>
          <w:p>
            <w:r>
              <w:rPr>
                <w:rFonts w:ascii="Arial" w:hAnsi="Arial"/>
                <w:b/>
                <w:sz w:val="22"/>
              </w:rPr>
              <w:t>Title/Description</w:t>
            </w:r>
          </w:p>
        </w:tc>
      </w:tr>
      <w:tr>
        <w:tc>
          <w:tcPr>
            <w:tcW w:type="dxa" w:w="2160"/>
          </w:tcPr>
          <w:p>
            <w:r>
              <w:rPr>
                <w:rFonts w:ascii="Arial" w:hAnsi="Arial"/>
                <w:sz w:val="22"/>
              </w:rPr>
              <w:t>OSHA</w:t>
            </w:r>
          </w:p>
        </w:tc>
        <w:tc>
          <w:tcPr>
            <w:tcW w:type="dxa" w:w="3600"/>
          </w:tcPr>
          <w:p>
            <w:r>
              <w:rPr>
                <w:rFonts w:ascii="Arial" w:hAnsi="Arial"/>
                <w:sz w:val="22"/>
              </w:rPr>
              <w:t>29 CFR 1926 Subpart O</w:t>
            </w:r>
          </w:p>
        </w:tc>
        <w:tc>
          <w:tcPr>
            <w:tcW w:type="dxa" w:w="6480"/>
          </w:tcPr>
          <w:p>
            <w:r>
              <w:rPr>
                <w:rFonts w:ascii="Arial" w:hAnsi="Arial"/>
                <w:sz w:val="22"/>
              </w:rPr>
            </w:r>
          </w:p>
        </w:tc>
      </w:tr>
      <w:tr>
        <w:tc>
          <w:tcPr>
            <w:tcW w:type="dxa" w:w="2160"/>
          </w:tcPr>
          <w:p>
            <w:r>
              <w:rPr>
                <w:rFonts w:ascii="Arial" w:hAnsi="Arial"/>
                <w:sz w:val="22"/>
              </w:rPr>
              <w:t>OSHA</w:t>
            </w:r>
          </w:p>
        </w:tc>
        <w:tc>
          <w:tcPr>
            <w:tcW w:type="dxa" w:w="3600"/>
          </w:tcPr>
          <w:p>
            <w:r>
              <w:rPr>
                <w:rFonts w:ascii="Arial" w:hAnsi="Arial"/>
                <w:sz w:val="22"/>
              </w:rPr>
              <w:t>29 CFR 1926.600 Equipment General</w:t>
            </w:r>
          </w:p>
        </w:tc>
        <w:tc>
          <w:tcPr>
            <w:tcW w:type="dxa" w:w="6480"/>
          </w:tcPr>
          <w:p>
            <w:r>
              <w:rPr>
                <w:rFonts w:ascii="Arial" w:hAnsi="Arial"/>
                <w:sz w:val="22"/>
              </w:rPr>
            </w:r>
          </w:p>
        </w:tc>
      </w:tr>
      <w:tr>
        <w:tc>
          <w:tcPr>
            <w:tcW w:type="dxa" w:w="2160"/>
          </w:tcPr>
          <w:p>
            <w:r>
              <w:rPr>
                <w:rFonts w:ascii="Arial" w:hAnsi="Arial"/>
                <w:sz w:val="22"/>
              </w:rPr>
              <w:t>OSHA</w:t>
            </w:r>
          </w:p>
        </w:tc>
        <w:tc>
          <w:tcPr>
            <w:tcW w:type="dxa" w:w="3600"/>
          </w:tcPr>
          <w:p>
            <w:r>
              <w:rPr>
                <w:rFonts w:ascii="Arial" w:hAnsi="Arial"/>
                <w:sz w:val="22"/>
              </w:rPr>
              <w:t>29 CFR 1926.601 Motor Vehicles</w:t>
            </w:r>
          </w:p>
        </w:tc>
        <w:tc>
          <w:tcPr>
            <w:tcW w:type="dxa" w:w="6480"/>
          </w:tcPr>
          <w:p>
            <w:r>
              <w:rPr>
                <w:rFonts w:ascii="Arial" w:hAnsi="Arial"/>
                <w:sz w:val="22"/>
              </w:rPr>
            </w:r>
          </w:p>
        </w:tc>
      </w:tr>
      <w:tr>
        <w:tc>
          <w:tcPr>
            <w:tcW w:type="dxa" w:w="2160"/>
          </w:tcPr>
          <w:p>
            <w:r>
              <w:rPr>
                <w:rFonts w:ascii="Arial" w:hAnsi="Arial"/>
                <w:sz w:val="22"/>
              </w:rPr>
              <w:t>WISHA</w:t>
            </w:r>
          </w:p>
        </w:tc>
        <w:tc>
          <w:tcPr>
            <w:tcW w:type="dxa" w:w="3600"/>
          </w:tcPr>
          <w:p>
            <w:r>
              <w:rPr>
                <w:rFonts w:ascii="Arial" w:hAnsi="Arial"/>
                <w:sz w:val="22"/>
              </w:rPr>
              <w:t>WAC 296-155-600 Definitions</w:t>
            </w:r>
          </w:p>
        </w:tc>
        <w:tc>
          <w:tcPr>
            <w:tcW w:type="dxa" w:w="6480"/>
          </w:tcPr>
          <w:p>
            <w:r>
              <w:rPr>
                <w:rFonts w:ascii="Arial" w:hAnsi="Arial"/>
                <w:sz w:val="22"/>
              </w:rPr>
            </w:r>
          </w:p>
        </w:tc>
      </w:tr>
      <w:tr>
        <w:tc>
          <w:tcPr>
            <w:tcW w:type="dxa" w:w="2160"/>
          </w:tcPr>
          <w:p>
            <w:r>
              <w:rPr>
                <w:rFonts w:ascii="Arial" w:hAnsi="Arial"/>
                <w:sz w:val="22"/>
              </w:rPr>
              <w:t>WISHA</w:t>
            </w:r>
          </w:p>
        </w:tc>
        <w:tc>
          <w:tcPr>
            <w:tcW w:type="dxa" w:w="3600"/>
          </w:tcPr>
          <w:p>
            <w:r>
              <w:rPr>
                <w:rFonts w:ascii="Arial" w:hAnsi="Arial"/>
                <w:sz w:val="22"/>
              </w:rPr>
              <w:t>WAC 296-155-610 Motor Vehicles on Construction Sites</w:t>
            </w:r>
          </w:p>
        </w:tc>
        <w:tc>
          <w:tcPr>
            <w:tcW w:type="dxa" w:w="6480"/>
          </w:tcPr>
          <w:p>
            <w:r>
              <w:rPr>
                <w:rFonts w:ascii="Arial" w:hAnsi="Arial"/>
                <w:sz w:val="22"/>
              </w:rPr>
            </w:r>
          </w:p>
        </w:tc>
      </w:tr>
      <w:tr>
        <w:tc>
          <w:tcPr>
            <w:tcW w:type="dxa" w:w="2160"/>
          </w:tcPr>
          <w:p>
            <w:r>
              <w:rPr>
                <w:rFonts w:ascii="Arial" w:hAnsi="Arial"/>
                <w:sz w:val="22"/>
              </w:rPr>
              <w:t>WISHA</w:t>
            </w:r>
          </w:p>
        </w:tc>
        <w:tc>
          <w:tcPr>
            <w:tcW w:type="dxa" w:w="3600"/>
          </w:tcPr>
          <w:p>
            <w:r>
              <w:rPr>
                <w:rFonts w:ascii="Arial" w:hAnsi="Arial"/>
                <w:sz w:val="22"/>
              </w:rPr>
              <w:t>WAC 296-155-615 Material Handling Equipment</w:t>
            </w:r>
          </w:p>
        </w:tc>
        <w:tc>
          <w:tcPr>
            <w:tcW w:type="dxa" w:w="6480"/>
          </w:tcPr>
          <w:p>
            <w:r>
              <w:rPr>
                <w:rFonts w:ascii="Arial" w:hAnsi="Arial"/>
                <w:sz w:val="22"/>
              </w:rPr>
            </w:r>
          </w:p>
        </w:tc>
      </w:tr>
      <w:tr>
        <w:tc>
          <w:tcPr>
            <w:tcW w:type="dxa" w:w="2160"/>
          </w:tcPr>
          <w:p>
            <w:r>
              <w:rPr>
                <w:rFonts w:ascii="Arial" w:hAnsi="Arial"/>
                <w:sz w:val="22"/>
              </w:rPr>
              <w:t>AGC</w:t>
            </w:r>
          </w:p>
        </w:tc>
        <w:tc>
          <w:tcPr>
            <w:tcW w:type="dxa" w:w="3600"/>
          </w:tcPr>
          <w:p>
            <w:r>
              <w:rPr>
                <w:rFonts w:ascii="Arial" w:hAnsi="Arial"/>
                <w:sz w:val="22"/>
              </w:rPr>
              <w:t>Safety and Health Manual Ch. 13 Motor Vehicles and Equipment</w:t>
            </w:r>
          </w:p>
        </w:tc>
        <w:tc>
          <w:tcPr>
            <w:tcW w:type="dxa" w:w="6480"/>
          </w:tcPr>
          <w:p>
            <w:r>
              <w:rPr>
                <w:rFonts w:ascii="Arial" w:hAnsi="Arial"/>
                <w:sz w:val="22"/>
              </w:rPr>
            </w:r>
          </w:p>
        </w:tc>
      </w:tr>
    </w:tbl>
    <w:p>
      <w:pPr>
        <w:pStyle w:val="Heading1_Arial_12"/>
      </w:pPr>
      <w:r>
        <w:t>PURPOSE</w:t>
      </w:r>
    </w:p>
    <w:p>
      <w:pPr>
        <w:pStyle w:val="Normal_Arial_11"/>
      </w:pPr>
      <w:r>
        <w:t>This policy establishes guidelines and procedures to ensure the safe operation of motor vehicles and related equipment on MH Construction job sites. Its primary purpose is to prevent accidents, injuries, and property damage associated with vehicle use, thereby protecting employees, subcontractors, and the public.</w:t>
      </w:r>
    </w:p>
    <w:p>
      <w:pPr>
        <w:pStyle w:val="Heading1_Arial_12"/>
      </w:pPr>
      <w:r>
        <w:t>SCOPE</w:t>
      </w:r>
    </w:p>
    <w:p>
      <w:pPr>
        <w:pStyle w:val="Normal_Arial_11"/>
      </w:pPr>
      <w:r>
        <w:t>This program applies to all MH Construction employees, subcontractors, and visitors operating or working near motor vehicles and equipment on company-controlled job sites, including company-owned, rented, or personal vehicles used for company business.</w:t>
      </w:r>
    </w:p>
    <w:p>
      <w:pPr>
        <w:pStyle w:val="Heading1_Arial_12"/>
      </w:pPr>
      <w:r>
        <w:t>DEFINITIONS</w:t>
      </w:r>
    </w:p>
    <w:tbl>
      <w:tblPr>
        <w:tblW w:type="auto" w:w="0"/>
        <w:tblLayout w:type="autofit"/>
        <w:tblLook w:firstColumn="1" w:firstRow="1" w:lastColumn="0" w:lastRow="0" w:noHBand="0" w:noVBand="1" w:val="04A0"/>
      </w:tblPr>
      <w:tblGrid>
        <w:gridCol w:w="2880"/>
        <w:gridCol w:w="10080"/>
      </w:tblGrid>
      <w:tr>
        <w:tc>
          <w:tcPr>
            <w:tcW w:type="dxa" w:w="4500"/>
          </w:tcPr>
          <w:p>
            <w:r>
              <w:rPr>
                <w:rFonts w:ascii="Arial" w:hAnsi="Arial"/>
                <w:b/>
                <w:sz w:val="22"/>
              </w:rPr>
              <w:t>Term</w:t>
            </w:r>
          </w:p>
        </w:tc>
        <w:tc>
          <w:tcPr>
            <w:tcW w:type="dxa" w:w="4500"/>
          </w:tcPr>
          <w:p>
            <w:r>
              <w:rPr>
                <w:rFonts w:ascii="Arial" w:hAnsi="Arial"/>
                <w:b/>
                <w:sz w:val="22"/>
              </w:rPr>
              <w:t>Definition</w:t>
            </w:r>
          </w:p>
        </w:tc>
      </w:tr>
      <w:tr>
        <w:tc>
          <w:tcPr>
            <w:tcW w:type="dxa" w:w="2880"/>
          </w:tcPr>
          <w:p>
            <w:r>
              <w:rPr>
                <w:rFonts w:ascii="Arial" w:hAnsi="Arial"/>
                <w:sz w:val="22"/>
              </w:rPr>
              <w:t>Motor Vehicle</w:t>
            </w:r>
          </w:p>
        </w:tc>
        <w:tc>
          <w:tcPr>
            <w:tcW w:type="dxa" w:w="10080"/>
          </w:tcPr>
          <w:p>
            <w:r>
              <w:rPr>
                <w:rFonts w:ascii="Arial" w:hAnsi="Arial"/>
                <w:sz w:val="22"/>
              </w:rPr>
              <w:t>Any vehicle that is self-propelled and used for transportation or work on a construction site, including trucks, cars, forklifts, loaders, and other heavy equipment.</w:t>
            </w:r>
          </w:p>
        </w:tc>
      </w:tr>
      <w:tr>
        <w:tc>
          <w:tcPr>
            <w:tcW w:type="dxa" w:w="2880"/>
          </w:tcPr>
          <w:p>
            <w:r>
              <w:rPr>
                <w:rFonts w:ascii="Arial" w:hAnsi="Arial"/>
                <w:sz w:val="22"/>
              </w:rPr>
              <w:t>Operator</w:t>
            </w:r>
          </w:p>
        </w:tc>
        <w:tc>
          <w:tcPr>
            <w:tcW w:type="dxa" w:w="10080"/>
          </w:tcPr>
          <w:p>
            <w:r>
              <w:rPr>
                <w:rFonts w:ascii="Arial" w:hAnsi="Arial"/>
                <w:sz w:val="22"/>
              </w:rPr>
              <w:t>An individual authorized and trained to operate a specific motor vehicle or piece of equipment.</w:t>
            </w:r>
          </w:p>
        </w:tc>
      </w:tr>
      <w:tr>
        <w:tc>
          <w:tcPr>
            <w:tcW w:type="dxa" w:w="2880"/>
          </w:tcPr>
          <w:p>
            <w:r>
              <w:rPr>
                <w:rFonts w:ascii="Arial" w:hAnsi="Arial"/>
                <w:sz w:val="22"/>
              </w:rPr>
              <w:t>Spotter</w:t>
            </w:r>
          </w:p>
        </w:tc>
        <w:tc>
          <w:tcPr>
            <w:tcW w:type="dxa" w:w="10080"/>
          </w:tcPr>
          <w:p>
            <w:r>
              <w:rPr>
                <w:rFonts w:ascii="Arial" w:hAnsi="Arial"/>
                <w:sz w:val="22"/>
              </w:rPr>
              <w:t>A designated person who assists equipment operators by providing visual guidance to ensure safe movement, especially in blind spots or congested areas.</w:t>
            </w:r>
          </w:p>
        </w:tc>
      </w:tr>
      <w:tr>
        <w:tc>
          <w:tcPr>
            <w:tcW w:type="dxa" w:w="2880"/>
          </w:tcPr>
          <w:p>
            <w:r>
              <w:rPr>
                <w:rFonts w:ascii="Arial" w:hAnsi="Arial"/>
                <w:sz w:val="22"/>
              </w:rPr>
              <w:t>Blind Spot</w:t>
            </w:r>
          </w:p>
        </w:tc>
        <w:tc>
          <w:tcPr>
            <w:tcW w:type="dxa" w:w="10080"/>
          </w:tcPr>
          <w:p>
            <w:r>
              <w:rPr>
                <w:rFonts w:ascii="Arial" w:hAnsi="Arial"/>
                <w:sz w:val="22"/>
              </w:rPr>
              <w:t>Areas around a vehicle or equipment where the operator's vision is obstructed, requiring additional vigilance or assistance from a spotter.</w:t>
            </w:r>
          </w:p>
        </w:tc>
      </w:tr>
      <w:tr>
        <w:tc>
          <w:tcPr>
            <w:tcW w:type="dxa" w:w="2880"/>
          </w:tcPr>
          <w:p>
            <w:r>
              <w:rPr>
                <w:rFonts w:ascii="Arial" w:hAnsi="Arial"/>
                <w:sz w:val="22"/>
              </w:rPr>
              <w:t>Competent Person</w:t>
            </w:r>
          </w:p>
        </w:tc>
        <w:tc>
          <w:tcPr>
            <w:tcW w:type="dxa" w:w="10080"/>
          </w:tcPr>
          <w:p>
            <w:r>
              <w:rPr>
                <w:rFonts w:ascii="Arial" w:hAnsi="Arial"/>
                <w:sz w:val="22"/>
              </w:rPr>
              <w:t>One who is capable of identifying existing and predictable hazards in the surroundings or working conditions which are unsanitary, hazardous, or dangerous to employees, and who has authorization to take prompt corrective measures to eliminate them.</w:t>
            </w:r>
          </w:p>
        </w:tc>
      </w:tr>
    </w:tbl>
    <w:p>
      <w:pPr>
        <w:pStyle w:val="Heading1_Arial_12"/>
      </w:pPr>
      <w:r>
        <w:t>RESPONSIBILITIES</w:t>
      </w:r>
    </w:p>
    <w:p>
      <w:pPr>
        <w:pStyle w:val="Heading2_Arial_12"/>
      </w:pPr>
      <w:r>
        <w:t>Company/Management Responsibilities</w:t>
      </w:r>
    </w:p>
    <w:p>
      <w:pPr>
        <w:pStyle w:val="ListBullet"/>
      </w:pPr>
      <w:r>
        <w:t>• Provide safe vehicles and equipment, ensuring regular maintenance and inspections.</w:t>
      </w:r>
    </w:p>
    <w:p>
      <w:pPr>
        <w:pStyle w:val="ListBullet"/>
      </w:pPr>
      <w:r>
        <w:t>• Ensure operators are trained and competent for the equipment they operate.</w:t>
      </w:r>
    </w:p>
    <w:p>
      <w:pPr>
        <w:pStyle w:val="ListBullet"/>
      </w:pPr>
      <w:r>
        <w:t>• Establish and enforce clear motor vehicle safety policies and procedures.</w:t>
      </w:r>
    </w:p>
    <w:p>
      <w:pPr>
        <w:pStyle w:val="Heading2_Arial_12"/>
      </w:pPr>
      <w:r>
        <w:t>Supervisor/Foreman Responsibilities</w:t>
      </w:r>
    </w:p>
    <w:p>
      <w:pPr>
        <w:pStyle w:val="ListBullet"/>
      </w:pPr>
      <w:r>
        <w:t>• Ensure all personnel under their supervision adhere to motor vehicle safety policies.</w:t>
      </w:r>
    </w:p>
    <w:p>
      <w:pPr>
        <w:pStyle w:val="ListBullet"/>
      </w:pPr>
      <w:r>
        <w:t>• Verify that operators are qualified and authorized to operate specific equipment.</w:t>
      </w:r>
    </w:p>
    <w:p>
      <w:pPr>
        <w:pStyle w:val="ListBullet"/>
      </w:pPr>
      <w:r>
        <w:t>• Conduct daily pre-shift inspections of vehicles and equipment.</w:t>
      </w:r>
    </w:p>
    <w:p>
      <w:pPr>
        <w:pStyle w:val="ListBullet"/>
      </w:pPr>
      <w:r>
        <w:t>• Ensure proper use of spotters and communication protocols in congested areas.</w:t>
      </w:r>
    </w:p>
    <w:p>
      <w:pPr>
        <w:pStyle w:val="Heading2_Arial_12"/>
      </w:pPr>
      <w:r>
        <w:t>Employee Responsibilities</w:t>
      </w:r>
    </w:p>
    <w:p>
      <w:pPr>
        <w:pStyle w:val="ListBullet"/>
      </w:pPr>
      <w:r>
        <w:t>• Operate vehicles and equipment safely and only if authorized and trained.</w:t>
      </w:r>
    </w:p>
    <w:p>
      <w:pPr>
        <w:pStyle w:val="ListBullet"/>
      </w:pPr>
      <w:r>
        <w:t>• Conduct pre-operational checks and report any defects immediately.</w:t>
      </w:r>
    </w:p>
    <w:p>
      <w:pPr>
        <w:pStyle w:val="ListBullet"/>
      </w:pPr>
      <w:r>
        <w:t>• Wear seatbelts and appropriate personal protective equipment (PPE).</w:t>
      </w:r>
    </w:p>
    <w:p>
      <w:pPr>
        <w:pStyle w:val="ListBullet"/>
      </w:pPr>
      <w:r>
        <w:t>• Adhere to all traffic laws, site speed limits, and company safety rules.</w:t>
      </w:r>
    </w:p>
    <w:p>
      <w:pPr>
        <w:pStyle w:val="Heading2_Arial_12"/>
      </w:pPr>
      <w:r>
        <w:t>Subcontractor Responsibilities</w:t>
      </w:r>
    </w:p>
    <w:p>
      <w:pPr>
        <w:pStyle w:val="ListBullet"/>
      </w:pPr>
      <w:r>
        <w:t>• Ensure their employees comply with all MH Construction motor vehicle safety policies and procedures.</w:t>
      </w:r>
    </w:p>
    <w:p>
      <w:pPr>
        <w:pStyle w:val="ListBullet"/>
      </w:pPr>
      <w:r>
        <w:t>• Provide properly maintained and inspected vehicles and equipment.</w:t>
      </w:r>
    </w:p>
    <w:p>
      <w:pPr>
        <w:pStyle w:val="ListBullet"/>
      </w:pPr>
      <w:r>
        <w:t>• Verify that their operators are trained, certified, and competent.</w:t>
      </w:r>
    </w:p>
    <w:p>
      <w:pPr>
        <w:pStyle w:val="Heading1_Arial_12"/>
      </w:pPr>
      <w:r>
        <w:t>PROCEDURES / REQUIREMENTS</w:t>
      </w:r>
    </w:p>
    <w:p>
      <w:pPr>
        <w:pStyle w:val="ListNumber"/>
      </w:pPr>
      <w:r>
        <w:t>7.1 Vehicle and Equipment Maintenance: All motor vehicles and equipment shall be maintained in a safe operating condition. Regular preventative maintenance schedules will be followed. Any vehicle found to have defects affecting safe operation shall be immediately removed from service until repaired. (Per 29 CFR 1926.600(a)(6))</w:t>
      </w:r>
    </w:p>
    <w:p>
      <w:pPr>
        <w:pStyle w:val="ListNumber"/>
      </w:pPr>
      <w:r>
        <w:t>7.2 Operator Qualifications: Only trained and authorized personnel shall operate motor vehicles and equipment. Operators must possess valid licenses and any required certifications for the specific type of equipment. (Per WAC 296-155-610(1))</w:t>
      </w:r>
    </w:p>
    <w:p>
      <w:pPr>
        <w:pStyle w:val="ListNumber"/>
      </w:pPr>
      <w:r>
        <w:t>7.3 Pre-Operational Inspections: Before each shift, operators shall conduct a thorough pre-operational inspection of their assigned vehicle or equipment. This includes checking tires, brakes, lights, fluid levels, horn, and safety devices. Any deficiencies must be reported to a supervisor immediately. (Per 29 CFR 1926.600(a)(5))</w:t>
      </w:r>
    </w:p>
    <w:p>
      <w:pPr>
        <w:pStyle w:val="ListNumber"/>
      </w:pPr>
      <w:r>
        <w:t>7.4 Seatbelts and PPE: All occupants of motor vehicles on job sites must wear seatbelts where provided. Operators shall wear appropriate Personal Protective Equipment (PPE) as required by job site conditions and equipment type. (Per WAC 296-155-610(2))</w:t>
      </w:r>
    </w:p>
    <w:p>
      <w:pPr>
        <w:pStyle w:val="ListNumber"/>
      </w:pPr>
      <w:r>
        <w:t>7.5 Safe Operating Practices: Operators must adhere to site-specific speed limits, maintain safe following distances, and exercise extreme caution when operating in congested areas, near pedestrians, or in adverse weather conditions. Backing operations require a spotter unless the operator has a clear view of the path of travel. (Per 29 CFR 1926.601(b)(4) and WAC 296-155-610(3))</w:t>
      </w:r>
    </w:p>
    <w:p>
      <w:pPr>
        <w:pStyle w:val="ListNumber"/>
      </w:pPr>
      <w:r>
        <w:t>7.6 Material Handling Equipment: Forklifts, loaders, and similar material handling equipment must be operated in accordance with manufacturer's instructions and specific WISHA requirements for industrial trucks. Loads must be stable and within the equipment's rated capacity. (Per WAC 296-155-615)</w:t>
      </w:r>
    </w:p>
    <w:p>
      <w:pPr>
        <w:pStyle w:val="ListNumber"/>
      </w:pPr>
      <w:r>
        <w:t>7.7 Traffic Control and Pedestrian Safety: Designated traffic routes shall be established on job sites. Pedestrian walkways must be clearly marked and separated from vehicle traffic where feasible. Operators must yield to pedestrians and maintain constant vigilance for personnel in their work area. (Per 29 CFR 1926.201(a)(1))</w:t>
      </w:r>
    </w:p>
    <w:p>
      <w:pPr>
        <w:pStyle w:val="ListNumber"/>
      </w:pPr>
      <w:r>
        <w:t>7.8 Securing Loads: All loads transported on or off site must be properly secured to prevent shifting or falling during transit. This includes proper chaining, strapping, and covering as necessary. (Per WAC 296-155-610(4))</w:t>
      </w:r>
    </w:p>
    <w:p>
      <w:pPr>
        <w:pStyle w:val="ListNumber"/>
      </w:pPr>
      <w:r>
        <w:t>7.9 Parking and Idling: Vehicles and equipment must be parked in designated areas, with brakes set and keys removed when unattended. Idling should be minimized to reduce emissions and noise. (Per WAC 296-155-610(5))</w:t>
      </w:r>
    </w:p>
    <w:p>
      <w:pPr>
        <w:pStyle w:val="ListNumber"/>
      </w:pPr>
      <w:r>
        <w:t>7.10 Emergency Procedures: Operators must be familiar with emergency shutdown procedures, fire extinguisher locations, and communication protocols in case of an accident or equipment malfunction. All incidents must be reported immediately.</w:t>
      </w:r>
    </w:p>
    <w:p>
      <w:pPr>
        <w:pStyle w:val="Heading1_Arial_12"/>
      </w:pPr>
      <w:r>
        <w:t>TRAINING REQUIREMENTS</w:t>
      </w:r>
    </w:p>
    <w:p>
      <w:pPr>
        <w:pStyle w:val="Normal_Arial_11"/>
      </w:pPr>
      <w:r>
        <w:t>All employees who operate motor vehicles or equipment on MH Construction job sites must receive initial and refresher training covering safe operating procedures, pre-operational inspections, hazard recognition, and emergency protocols. Training will be documented and conducted by a competent person. Specific training mandates include: (Per 29 CFR 1926.21(b)(2) and WAC 296-155-610(1))</w:t>
      </w:r>
    </w:p>
    <w:p>
      <w:pPr>
        <w:pStyle w:val="ListBullet"/>
      </w:pPr>
      <w:r>
        <w:t>• Initial training for all new operators.</w:t>
      </w:r>
    </w:p>
    <w:p>
      <w:pPr>
        <w:pStyle w:val="ListBullet"/>
      </w:pPr>
      <w:r>
        <w:t>• Refresher training as needed, or at least every three years.</w:t>
      </w:r>
    </w:p>
    <w:p>
      <w:pPr>
        <w:pStyle w:val="ListBullet"/>
      </w:pPr>
      <w:r>
        <w:t>• Training on specific equipment types before operation.</w:t>
      </w:r>
    </w:p>
    <w:p>
      <w:pPr>
        <w:pStyle w:val="ListBullet"/>
      </w:pPr>
      <w:r>
        <w:t>• Documentation of all training sessions, including dates, topics, and attendees.</w:t>
      </w:r>
    </w:p>
    <w:p>
      <w:pPr>
        <w:pStyle w:val="Heading1_Arial_12"/>
      </w:pPr>
      <w:r>
        <w:t>INSPECTION AND ENFORCEMENT</w:t>
      </w:r>
    </w:p>
    <w:p>
      <w:pPr>
        <w:pStyle w:val="Normal_Arial_11"/>
      </w:pPr>
      <w:r>
        <w:t>Compliance with this Motor Vehicle Safety Program will be monitored through regular site inspections, supervisor observations, and incident investigations. Unsafe acts or conditions will be addressed immediately. Corrective actions will be implemented, and employees will be held accountable for adherence to these policies.</w:t>
      </w:r>
    </w:p>
    <w:p>
      <w:pPr>
        <w:pStyle w:val="Heading1_Arial_12"/>
      </w:pPr>
      <w:r>
        <w:t>RECORDKEEPING</w:t>
      </w:r>
    </w:p>
    <w:p>
      <w:pPr>
        <w:pStyle w:val="Normal_Arial_11"/>
      </w:pPr>
      <w:r>
        <w:t>The following records shall be maintained by MH Construction:</w:t>
      </w:r>
    </w:p>
    <w:p>
      <w:pPr>
        <w:pStyle w:val="ListBullet"/>
      </w:pPr>
      <w:r>
        <w:t>• Vehicle and equipment maintenance logs.</w:t>
      </w:r>
    </w:p>
    <w:p>
      <w:pPr>
        <w:pStyle w:val="ListBullet"/>
      </w:pPr>
      <w:r>
        <w:t>• Operator training records and certifications.</w:t>
      </w:r>
    </w:p>
    <w:p>
      <w:pPr>
        <w:pStyle w:val="ListBullet"/>
      </w:pPr>
      <w:r>
        <w:t>• Pre-operational inspection checklists.</w:t>
      </w:r>
    </w:p>
    <w:p>
      <w:pPr>
        <w:pStyle w:val="ListBullet"/>
      </w:pPr>
      <w:r>
        <w:t>• Incident and accident investigation reports related to motor vehicle operations.</w:t>
      </w:r>
    </w:p>
    <w:p>
      <w:pPr>
        <w:pStyle w:val="Normal_Arial_11"/>
      </w:pPr>
      <w:r>
        <w:t>Records will be retained for a minimum of five years, or as required by specific regulatory standards, and will be managed by the Safety Officer.</w:t>
      </w:r>
    </w:p>
    <w:p>
      <w:pPr>
        <w:pStyle w:val="Heading1_Arial_12"/>
      </w:pPr>
      <w:r>
        <w:t>VIOLATION CONSEQUENCES</w:t>
      </w:r>
    </w:p>
    <w:p>
      <w:pPr>
        <w:pStyle w:val="Normal_Arial_11"/>
      </w:pPr>
      <w:r>
        <w:t>Violations of this Motor Vehicle Safety Program will result in disciplinary action, up to and including termination of employment or contract. The disciplinary process will be progressive, taking into account the severity of the violation and prior infractions. Immediate action may be taken for severe violations that pose imminent danger.</w:t>
      </w:r>
    </w:p>
    <w:p>
      <w:pPr>
        <w:pStyle w:val="Heading1_Arial_12"/>
      </w:pPr>
      <w:r>
        <w:t>REFERENCES</w:t>
      </w:r>
    </w:p>
    <w:p>
      <w:pPr>
        <w:pStyle w:val="ListBullet"/>
      </w:pPr>
      <w:r>
        <w:t>29 CFR 1926 Subpart O</w:t>
      </w:r>
    </w:p>
    <w:p>
      <w:pPr>
        <w:pStyle w:val="ListBullet"/>
      </w:pPr>
      <w:r>
        <w:t>29 CFR 1926.600 Equipment General</w:t>
      </w:r>
    </w:p>
    <w:p>
      <w:pPr>
        <w:pStyle w:val="ListBullet"/>
      </w:pPr>
      <w:r>
        <w:t>29 CFR 1926.601 Motor Vehicles</w:t>
      </w:r>
    </w:p>
    <w:p>
      <w:pPr>
        <w:pStyle w:val="ListBullet"/>
      </w:pPr>
      <w:r>
        <w:t>WAC 296-155-600 Definitions</w:t>
      </w:r>
    </w:p>
    <w:p>
      <w:pPr>
        <w:pStyle w:val="ListBullet"/>
      </w:pPr>
      <w:r>
        <w:t>WAC 296-155-610 Motor Vehicles on Construction Sites</w:t>
      </w:r>
    </w:p>
    <w:p>
      <w:pPr>
        <w:pStyle w:val="ListBullet"/>
      </w:pPr>
      <w:r>
        <w:t>WAC 296-155-615 Material Handling Equipment</w:t>
      </w:r>
    </w:p>
    <w:p>
      <w:pPr>
        <w:pStyle w:val="ListBullet"/>
      </w:pPr>
      <w:r>
        <w:t>Safety and Health Manual Ch. 13 Motor Vehicles and Equipment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_Arial_11">
    <w:name w:val="Normal_Arial_11"/>
    <w:rPr>
      <w:rFonts w:ascii="Arial" w:hAnsi="Arial"/>
      <w:sz w:val="22"/>
    </w:rPr>
  </w:style>
  <w:style w:type="paragraph" w:customStyle="1" w:styleId="Heading1_Arial_12">
    <w:name w:val="Heading1_Arial_12"/>
    <w:rPr>
      <w:rFonts w:ascii="Arial" w:hAnsi="Arial"/>
      <w:b/>
      <w:sz w:val="24"/>
    </w:rPr>
  </w:style>
  <w:style w:type="paragraph" w:customStyle="1" w:styleId="Heading2_Arial_12">
    <w:name w:val="Heading2_Arial_12"/>
    <w:rPr>
      <w:rFonts w:ascii="Arial" w:hAnsi="Arial"/>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8217B74-786B-470A-A2B0-3763AE4766DC}"/>
</file>

<file path=customXml/itemProps3.xml><?xml version="1.0" encoding="utf-8"?>
<ds:datastoreItem xmlns:ds="http://schemas.openxmlformats.org/officeDocument/2006/customXml" ds:itemID="{51BF94BA-348A-4BDD-A332-610144638E0F}"/>
</file>

<file path=customXml/itemProps4.xml><?xml version="1.0" encoding="utf-8"?>
<ds:datastoreItem xmlns:ds="http://schemas.openxmlformats.org/officeDocument/2006/customXml" ds:itemID="{7A486B2F-4A9C-4DC7-B002-A4D4F4777D2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