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MH CONSTRUCTION, INC.</w:t>
        <w:br/>
      </w:r>
      <w:r>
        <w:rPr>
          <w:sz w:val="28"/>
        </w:rPr>
        <w:t>Industrial Safety &amp; Health Program (MISH)</w:t>
        <w:br/>
      </w:r>
      <w:r>
        <w:rPr>
          <w:b/>
          <w:sz w:val="28"/>
        </w:rPr>
        <w:t>MISH 19 | Equipment Maintenance and Inspection</w:t>
        <w:br/>
      </w:r>
      <w:r>
        <w:rPr>
          <w:sz w:val="22"/>
        </w:rPr>
        <w:t>Revision 3 | Effective: 04/07/2026 | Safety Officer: Matt Ramsey</w:t>
      </w:r>
    </w:p>
    <w:p>
      <w:pPr>
        <w:jc w:val="center"/>
      </w:pPr>
      <w:r>
        <w:t>________________________________________________________________________________</w:t>
      </w:r>
    </w:p>
    <w:p>
      <w:pPr>
        <w:pStyle w:val="Heading1"/>
      </w:pPr>
      <w:r>
        <w:t>Regulatory Authority</w:t>
      </w:r>
    </w:p>
    <w:tbl>
      <w:tblPr>
        <w:tblStyle w:val="TableGrid"/>
        <w:tblW w:type="auto" w:w="0"/>
        <w:tblLook w:firstColumn="1" w:firstRow="1" w:lastColumn="0" w:lastRow="0" w:noHBand="0" w:noVBand="1" w:val="04A0"/>
      </w:tblPr>
      <w:tblGrid>
        <w:gridCol w:w="3000"/>
        <w:gridCol w:w="3000"/>
        <w:gridCol w:w="3000"/>
      </w:tblGrid>
      <w:tr>
        <w:tc>
          <w:tcPr>
            <w:tcW w:type="dxa" w:w="3000"/>
          </w:tcPr>
          <w:p>
            <w:r>
              <w:t>Authority</w:t>
            </w:r>
          </w:p>
        </w:tc>
        <w:tc>
          <w:tcPr>
            <w:tcW w:type="dxa" w:w="3000"/>
          </w:tcPr>
          <w:p>
            <w:r>
              <w:t>Citation</w:t>
            </w:r>
          </w:p>
        </w:tc>
        <w:tc>
          <w:tcPr>
            <w:tcW w:type="dxa" w:w="3000"/>
          </w:tcPr>
          <w:p>
            <w:r>
              <w:t>Title/Description</w:t>
            </w:r>
          </w:p>
        </w:tc>
      </w:tr>
      <w:tr>
        <w:tc>
          <w:tcPr>
            <w:tcW w:type="dxa" w:w="3000"/>
          </w:tcPr>
          <w:p>
            <w:r>
              <w:t>OSHA</w:t>
            </w:r>
          </w:p>
        </w:tc>
        <w:tc>
          <w:tcPr>
            <w:tcW w:type="dxa" w:w="3000"/>
          </w:tcPr>
          <w:p>
            <w:r>
              <w:t>29 CFR 1926 Subpart O</w:t>
            </w:r>
          </w:p>
        </w:tc>
        <w:tc>
          <w:tcPr>
            <w:tcW w:type="dxa" w:w="3000"/>
          </w:tcPr>
          <w:p>
            <w:r>
              <w:t>Motor Vehicles, Mechanized Equipment, and Marine Operations</w:t>
            </w:r>
          </w:p>
        </w:tc>
      </w:tr>
      <w:tr>
        <w:tc>
          <w:tcPr>
            <w:tcW w:type="dxa" w:w="3000"/>
          </w:tcPr>
          <w:p>
            <w:r>
              <w:t>OSHA</w:t>
            </w:r>
          </w:p>
        </w:tc>
        <w:tc>
          <w:tcPr>
            <w:tcW w:type="dxa" w:w="3000"/>
          </w:tcPr>
          <w:p>
            <w:r>
              <w:t>29 CFR 1926.600(a)</w:t>
            </w:r>
          </w:p>
        </w:tc>
        <w:tc>
          <w:tcPr>
            <w:tcW w:type="dxa" w:w="3000"/>
          </w:tcPr>
          <w:p>
            <w:r>
              <w:t>Equipment Condition</w:t>
            </w:r>
          </w:p>
        </w:tc>
      </w:tr>
      <w:tr>
        <w:tc>
          <w:tcPr>
            <w:tcW w:type="dxa" w:w="3000"/>
          </w:tcPr>
          <w:p>
            <w:r>
              <w:t>OSHA</w:t>
            </w:r>
          </w:p>
        </w:tc>
        <w:tc>
          <w:tcPr>
            <w:tcW w:type="dxa" w:w="3000"/>
          </w:tcPr>
          <w:p>
            <w:r>
              <w:t>29 CFR 1926.602</w:t>
            </w:r>
          </w:p>
        </w:tc>
        <w:tc>
          <w:tcPr>
            <w:tcW w:type="dxa" w:w="3000"/>
          </w:tcPr>
          <w:p>
            <w:r>
              <w:t>Material Handling Equipment</w:t>
            </w:r>
          </w:p>
        </w:tc>
      </w:tr>
      <w:tr>
        <w:tc>
          <w:tcPr>
            <w:tcW w:type="dxa" w:w="3000"/>
          </w:tcPr>
          <w:p>
            <w:r>
              <w:t>WISHA</w:t>
            </w:r>
          </w:p>
        </w:tc>
        <w:tc>
          <w:tcPr>
            <w:tcW w:type="dxa" w:w="3000"/>
          </w:tcPr>
          <w:p>
            <w:r>
              <w:t>WAC 296-155-605</w:t>
            </w:r>
          </w:p>
        </w:tc>
        <w:tc>
          <w:tcPr>
            <w:tcW w:type="dxa" w:w="3000"/>
          </w:tcPr>
          <w:p>
            <w:r>
              <w:t>Equipment</w:t>
            </w:r>
          </w:p>
        </w:tc>
      </w:tr>
      <w:tr>
        <w:tc>
          <w:tcPr>
            <w:tcW w:type="dxa" w:w="3000"/>
          </w:tcPr>
          <w:p>
            <w:r>
              <w:t>WISHA</w:t>
            </w:r>
          </w:p>
        </w:tc>
        <w:tc>
          <w:tcPr>
            <w:tcW w:type="dxa" w:w="3000"/>
          </w:tcPr>
          <w:p>
            <w:r>
              <w:t>WAC 296-155-610</w:t>
            </w:r>
          </w:p>
        </w:tc>
        <w:tc>
          <w:tcPr>
            <w:tcW w:type="dxa" w:w="3000"/>
          </w:tcPr>
          <w:p>
            <w:r>
              <w:t>Motor Vehicles on Construction Sites</w:t>
            </w:r>
          </w:p>
        </w:tc>
      </w:tr>
      <w:tr>
        <w:tc>
          <w:tcPr>
            <w:tcW w:type="dxa" w:w="3000"/>
          </w:tcPr>
          <w:p>
            <w:r>
              <w:t>WISHA</w:t>
            </w:r>
          </w:p>
        </w:tc>
        <w:tc>
          <w:tcPr>
            <w:tcW w:type="dxa" w:w="3000"/>
          </w:tcPr>
          <w:p>
            <w:r>
              <w:t>WAC 296-155-615</w:t>
            </w:r>
          </w:p>
        </w:tc>
        <w:tc>
          <w:tcPr>
            <w:tcW w:type="dxa" w:w="3000"/>
          </w:tcPr>
          <w:p>
            <w:r>
              <w:t>Material Handling Equipment</w:t>
            </w:r>
          </w:p>
        </w:tc>
      </w:tr>
      <w:tr>
        <w:tc>
          <w:tcPr>
            <w:tcW w:type="dxa" w:w="3000"/>
          </w:tcPr>
          <w:p>
            <w:r>
              <w:t>AGC</w:t>
            </w:r>
          </w:p>
        </w:tc>
        <w:tc>
          <w:tcPr>
            <w:tcW w:type="dxa" w:w="3000"/>
          </w:tcPr>
          <w:p>
            <w:r>
              <w:t>Safety and Health Manual Ch. 13</w:t>
            </w:r>
          </w:p>
        </w:tc>
        <w:tc>
          <w:tcPr>
            <w:tcW w:type="dxa" w:w="3000"/>
          </w:tcPr>
          <w:p>
            <w:r>
              <w:t>Equipment Maintenance and Inspection</w:t>
            </w:r>
          </w:p>
        </w:tc>
      </w:tr>
    </w:tbl>
    <w:p/>
    <w:p>
      <w:pPr>
        <w:pStyle w:val="Heading1"/>
      </w:pPr>
      <w:r>
        <w:t>1. Purpose</w:t>
      </w:r>
    </w:p>
    <w:p>
      <w:r>
        <w:t>The purpose of this Equipment Maintenance and Inspection policy is to establish minimum requirements for the safe operation, inspection, and maintenance of all motorized and mechanized equipment used on MH Construction, Inc. (MHC) projects. This policy ensures that all equipment is maintained in safe operating condition, protecting employees, subcontractors, and the public from hazards associated with equipment failure or malfunction.</w:t>
      </w:r>
    </w:p>
    <w:p>
      <w:pPr>
        <w:pStyle w:val="Heading1"/>
      </w:pPr>
      <w:r>
        <w:t>2. Scope</w:t>
      </w:r>
    </w:p>
    <w:p>
      <w:r>
        <w:t>This policy applies to all MH Construction, Inc. employees, subcontractors, vendors, and visitors operating or working near motorized and mechanized equipment on MHC job sites. It covers all company-owned, leased, rented, and subcontractor-provided equipment, including but not limited to earthmoving equipment, material handling equipment, aerial lifts, and motor vehicles.</w:t>
      </w:r>
    </w:p>
    <w:p>
      <w:pPr>
        <w:pStyle w:val="Heading1"/>
      </w:pPr>
      <w:r>
        <w:t>3. Definitions</w:t>
      </w:r>
    </w:p>
    <w:tbl>
      <w:tblPr>
        <w:tblStyle w:val="TableGrid"/>
        <w:tblW w:type="auto" w:w="0"/>
        <w:tblLook w:firstColumn="1" w:firstRow="1" w:lastColumn="0" w:lastRow="0" w:noHBand="0" w:noVBand="1" w:val="04A0"/>
      </w:tblPr>
      <w:tblGrid>
        <w:gridCol w:w="4500"/>
        <w:gridCol w:w="4500"/>
      </w:tblGrid>
      <w:tr>
        <w:tc>
          <w:tcPr>
            <w:tcW w:type="dxa" w:w="4500"/>
          </w:tcPr>
          <w:p>
            <w:r>
              <w:t>Term</w:t>
            </w:r>
          </w:p>
        </w:tc>
        <w:tc>
          <w:tcPr>
            <w:tcW w:type="dxa" w:w="4500"/>
          </w:tcPr>
          <w:p>
            <w:r>
              <w:t>Definition</w:t>
            </w:r>
          </w:p>
        </w:tc>
      </w:tr>
      <w:tr>
        <w:tc>
          <w:tcPr>
            <w:tcW w:type="dxa" w:w="4500"/>
          </w:tcPr>
          <w:p>
            <w:r>
              <w:t>Competent Person</w:t>
            </w:r>
          </w:p>
        </w:tc>
        <w:tc>
          <w:tcPr>
            <w:tcW w:type="dxa" w:w="4500"/>
          </w:tcPr>
          <w:p>
            <w:r>
              <w:t>One who is capable of identifying existing and predictable hazards in the surroundings or working conditions which are unsanitary, hazardous, or dangerous to employees, and who has authorization to take prompt corrective measures to eliminate them.</w:t>
            </w:r>
          </w:p>
        </w:tc>
      </w:tr>
      <w:tr>
        <w:tc>
          <w:tcPr>
            <w:tcW w:type="dxa" w:w="4500"/>
          </w:tcPr>
          <w:p>
            <w:r>
              <w:t>Qualified Person</w:t>
            </w:r>
          </w:p>
        </w:tc>
        <w:tc>
          <w:tcPr>
            <w:tcW w:type="dxa" w:w="4500"/>
          </w:tcPr>
          <w:p>
            <w:r>
              <w:t>One who, by possession of a recognized degree, certificate, or professional standing, or who by extensive knowledge, training, and experience, has successfully demonstrated their ability to solve or resolve problems relating to the subject matter, the work, or the project.</w:t>
            </w:r>
          </w:p>
        </w:tc>
      </w:tr>
      <w:tr>
        <w:tc>
          <w:tcPr>
            <w:tcW w:type="dxa" w:w="4500"/>
          </w:tcPr>
          <w:p>
            <w:r>
              <w:t>Earthmoving Equipment</w:t>
            </w:r>
          </w:p>
        </w:tc>
        <w:tc>
          <w:tcPr>
            <w:tcW w:type="dxa" w:w="4500"/>
          </w:tcPr>
          <w:p>
            <w:r>
              <w:t>Scrapers, loaders, crawler or wheel tractors, bulldozers, off-highway trucks, graders, agricultural and industrial tractors, and similar equipment.</w:t>
            </w:r>
          </w:p>
        </w:tc>
      </w:tr>
      <w:tr>
        <w:tc>
          <w:tcPr>
            <w:tcW w:type="dxa" w:w="4500"/>
          </w:tcPr>
          <w:p>
            <w:r>
              <w:t>Material Handling Equipment</w:t>
            </w:r>
          </w:p>
        </w:tc>
        <w:tc>
          <w:tcPr>
            <w:tcW w:type="dxa" w:w="4500"/>
          </w:tcPr>
          <w:p>
            <w:r>
              <w:t>Equipment used for the movement, storage, control and protection of materials, goods and products throughout the process of manufacturing, distribution, consumption and disposal, including forklifts and telehandlers.</w:t>
            </w:r>
          </w:p>
        </w:tc>
      </w:tr>
      <w:tr>
        <w:tc>
          <w:tcPr>
            <w:tcW w:type="dxa" w:w="4500"/>
          </w:tcPr>
          <w:p>
            <w:r>
              <w:t>Lockout/Tagout (LOTO)</w:t>
            </w:r>
          </w:p>
        </w:tc>
        <w:tc>
          <w:tcPr>
            <w:tcW w:type="dxa" w:w="4500"/>
          </w:tcPr>
          <w:p>
            <w:r>
              <w:t>Specific practices and procedures to safeguard employees from the unexpected energization or startup of machinery and equipment, or the release of hazardous energy during service or maintenance activities.</w:t>
            </w:r>
          </w:p>
        </w:tc>
      </w:tr>
    </w:tbl>
    <w:p/>
    <w:p>
      <w:pPr>
        <w:pStyle w:val="Heading1"/>
      </w:pPr>
      <w:r>
        <w:t>4. Responsibilities</w:t>
      </w:r>
    </w:p>
    <w:p>
      <w:pPr>
        <w:pStyle w:val="Heading2"/>
      </w:pPr>
      <w:r>
        <w:t>4.1 Company/Management Responsibilities</w:t>
      </w:r>
    </w:p>
    <w:p>
      <w:pPr>
        <w:pStyle w:val="ListBullet"/>
      </w:pPr>
      <w:r>
        <w:t>Provide resources and support to ensure all equipment is maintained in safe operating condition.</w:t>
      </w:r>
    </w:p>
    <w:p>
      <w:pPr>
        <w:pStyle w:val="ListBullet"/>
      </w:pPr>
      <w:r>
        <w:t>Ensure that only trained and authorized personnel operate and maintain equipment.</w:t>
      </w:r>
    </w:p>
    <w:p>
      <w:pPr>
        <w:pStyle w:val="ListBullet"/>
      </w:pPr>
      <w:r>
        <w:t>Establish and maintain a comprehensive preventative maintenance program for all company-owned equipment.</w:t>
      </w:r>
    </w:p>
    <w:p>
      <w:pPr>
        <w:pStyle w:val="ListBullet"/>
      </w:pPr>
      <w:r>
        <w:t>Review and update this policy as necessary to comply with changing regulations and industry best practices.</w:t>
      </w:r>
    </w:p>
    <w:p>
      <w:pPr>
        <w:pStyle w:val="Heading2"/>
      </w:pPr>
      <w:r>
        <w:t>4.2 Supervisor/Foreman Responsibilities</w:t>
      </w:r>
    </w:p>
    <w:p>
      <w:pPr>
        <w:pStyle w:val="ListBullet"/>
      </w:pPr>
      <w:r>
        <w:t>Ensure that daily pre-shift inspections are conducted and documented for all equipment on their site.</w:t>
      </w:r>
    </w:p>
    <w:p>
      <w:pPr>
        <w:pStyle w:val="ListBullet"/>
      </w:pPr>
      <w:r>
        <w:t>Remove from service any equipment found to be defective or unsafe until repaired.</w:t>
      </w:r>
    </w:p>
    <w:p>
      <w:pPr>
        <w:pStyle w:val="ListBullet"/>
      </w:pPr>
      <w:r>
        <w:t>Verify that operators possess the required training, certifications, and licenses for the equipment they operate.</w:t>
      </w:r>
    </w:p>
    <w:p>
      <w:pPr>
        <w:pStyle w:val="ListBullet"/>
      </w:pPr>
      <w:r>
        <w:t>Coordinate with the Safety Officer and maintenance personnel to schedule necessary repairs and preventative maintenance.</w:t>
      </w:r>
    </w:p>
    <w:p>
      <w:pPr>
        <w:pStyle w:val="Heading2"/>
      </w:pPr>
      <w:r>
        <w:t>4.3 Employee Responsibilities</w:t>
      </w:r>
    </w:p>
    <w:p>
      <w:pPr>
        <w:pStyle w:val="ListBullet"/>
      </w:pPr>
      <w:r>
        <w:t>Conduct thorough pre-shift inspections of equipment prior to use.</w:t>
      </w:r>
    </w:p>
    <w:p>
      <w:pPr>
        <w:pStyle w:val="ListBullet"/>
      </w:pPr>
      <w:r>
        <w:t>Operate equipment only if trained, authorized, and in accordance with the manufacturer's instructions.</w:t>
      </w:r>
    </w:p>
    <w:p>
      <w:pPr>
        <w:pStyle w:val="ListBullet"/>
      </w:pPr>
      <w:r>
        <w:t>Immediately report any equipment defects, malfunctions, or safety concerns to their supervisor.</w:t>
      </w:r>
    </w:p>
    <w:p>
      <w:pPr>
        <w:pStyle w:val="ListBullet"/>
      </w:pPr>
      <w:r>
        <w:t>Never operate equipment that has been tagged out of service.</w:t>
      </w:r>
    </w:p>
    <w:p>
      <w:pPr>
        <w:pStyle w:val="Heading2"/>
      </w:pPr>
      <w:r>
        <w:t>4.4 Subcontractor Responsibilities</w:t>
      </w:r>
    </w:p>
    <w:p>
      <w:pPr>
        <w:pStyle w:val="ListBullet"/>
      </w:pPr>
      <w:r>
        <w:t>Comply with all requirements of this policy and applicable OSHA/WISHA regulations regarding equipment maintenance and inspection.</w:t>
      </w:r>
    </w:p>
    <w:p>
      <w:pPr>
        <w:pStyle w:val="ListBullet"/>
      </w:pPr>
      <w:r>
        <w:t>Provide documentation of equipment inspections, operator training, and maintenance records upon request by MHC management.</w:t>
      </w:r>
    </w:p>
    <w:p>
      <w:pPr>
        <w:pStyle w:val="ListBullet"/>
      </w:pPr>
      <w:r>
        <w:t>Ensure their equipment is maintained in safe operating condition and removed from service if defective.</w:t>
      </w:r>
    </w:p>
    <w:p>
      <w:pPr>
        <w:pStyle w:val="Heading1"/>
      </w:pPr>
      <w:r>
        <w:t>5. Procedures / Requirements</w:t>
      </w:r>
    </w:p>
    <w:p>
      <w:pPr>
        <w:pStyle w:val="Heading2"/>
      </w:pPr>
      <w:r>
        <w:t>5.1 General Equipment Condition</w:t>
      </w:r>
    </w:p>
    <w:p>
      <w:pPr>
        <w:pStyle w:val="ListNumber"/>
      </w:pPr>
      <w:r>
        <w:t>Per 29 CFR 1926.600(a) and WAC 296-155-605, all equipment left unattended at night, adjacent to a highway in normal use, or adjacent to construction areas where work is in progress, shall have appropriate lights or reflectors, or barricades equipped with appropriate lights or reflectors, to identify the location of the equipment.</w:t>
      </w:r>
    </w:p>
    <w:p>
      <w:pPr>
        <w:pStyle w:val="ListNumber"/>
      </w:pPr>
      <w:r>
        <w:t>A safety tire rack, cage, or equivalent protection shall be provided and used when inflating, mounting, or dismounting tires installed on split rims, or rims equipped with locking rings or similar devices.</w:t>
      </w:r>
    </w:p>
    <w:p>
      <w:pPr>
        <w:pStyle w:val="ListNumber"/>
      </w:pPr>
      <w:r>
        <w:t>Heavy machinery, equipment, or parts thereof, which are suspended or held aloft by use of slings, hoists, or jacks shall be substantially blocked or cribbed to prevent falling or shifting before employees are permitted to work under or between them.</w:t>
      </w:r>
    </w:p>
    <w:p>
      <w:pPr>
        <w:pStyle w:val="ListNumber"/>
      </w:pPr>
      <w:r>
        <w:t>Bulldozer and scraper blades, end-loader buckets, dump bodies, and similar equipment, shall be either fully lowered or blocked when being repaired or when not in use. All controls shall be in a neutral position, with the motors stopped and brakes set, unless work being performed dictates otherwise.</w:t>
      </w:r>
    </w:p>
    <w:p>
      <w:pPr>
        <w:pStyle w:val="Heading2"/>
      </w:pPr>
      <w:r>
        <w:t>5.2 Pre-Shift Inspections</w:t>
      </w:r>
    </w:p>
    <w:p>
      <w:pPr>
        <w:pStyle w:val="ListNumber"/>
      </w:pPr>
      <w:r>
        <w:t>Prior to the start of each shift, the operator must conduct a visual and operational inspection of the equipment they will be using.</w:t>
      </w:r>
    </w:p>
    <w:p>
      <w:pPr>
        <w:pStyle w:val="ListNumber"/>
      </w:pPr>
      <w:r>
        <w:t>The inspection must be documented using the MHC Daily Equipment Inspection Checklist or an approved digital equivalent.</w:t>
      </w:r>
    </w:p>
    <w:p>
      <w:pPr>
        <w:pStyle w:val="ListNumber"/>
      </w:pPr>
      <w:r>
        <w:t>The inspection shall include, but is not limited to: fluid levels (oil, coolant, hydraulic), belts, hoses, tires/tracks, brakes (service and parking), steering, horn, backup alarm, lights, mirrors, seatbelts, ROPS/FOPS, and all operating controls.</w:t>
      </w:r>
    </w:p>
    <w:p>
      <w:pPr>
        <w:pStyle w:val="ListNumber"/>
      </w:pPr>
      <w:r>
        <w:t>If any safety-critical defect is identified during the inspection, the equipment must be immediately removed from service, tagged with a "Do Not Operate" tag, and reported to the supervisor.</w:t>
      </w:r>
    </w:p>
    <w:p>
      <w:pPr>
        <w:pStyle w:val="Heading2"/>
      </w:pPr>
      <w:r>
        <w:t>5.3 Motor Vehicles on Construction Sites</w:t>
      </w:r>
    </w:p>
    <w:p>
      <w:pPr>
        <w:pStyle w:val="ListNumber"/>
      </w:pPr>
      <w:r>
        <w:t>Per WAC 296-155-610, all vehicles shall have a service brake system, an emergency brake system, and a parking brake system. These systems may use common components, and shall be maintained in operable condition.</w:t>
      </w:r>
    </w:p>
    <w:p>
      <w:pPr>
        <w:pStyle w:val="ListNumber"/>
      </w:pPr>
      <w:r>
        <w:t>Whenever visibility conditions warrant additional light, all vehicles, or combinations of vehicles, in use shall be equipped with at least two headlights and two taillights in operable condition.</w:t>
      </w:r>
    </w:p>
    <w:p>
      <w:pPr>
        <w:pStyle w:val="ListNumber"/>
      </w:pPr>
      <w:r>
        <w:t>All vehicles, or combination of vehicles, shall have brake lights in operable condition regardless of light conditions.</w:t>
      </w:r>
    </w:p>
    <w:p>
      <w:pPr>
        <w:pStyle w:val="ListNumber"/>
      </w:pPr>
      <w:r>
        <w:t>All vehicles shall be equipped with an adequate audible warning device at the operator's station and in an operable condition.</w:t>
      </w:r>
    </w:p>
    <w:p>
      <w:pPr>
        <w:pStyle w:val="ListNumber"/>
      </w:pPr>
      <w:r>
        <w:t>No employer shall use any motor vehicle equipment having an obstructed view to the rear unless the vehicle has a reverse signal alarm audible above the surrounding noise level or the vehicle is backed up only when an observer signals that it is safe to do so.</w:t>
      </w:r>
    </w:p>
    <w:p>
      <w:pPr>
        <w:pStyle w:val="Heading2"/>
      </w:pPr>
      <w:r>
        <w:t>5.4 Material Handling Equipment</w:t>
      </w:r>
    </w:p>
    <w:p>
      <w:pPr>
        <w:pStyle w:val="ListNumber"/>
      </w:pPr>
      <w:r>
        <w:t>Per 29 CFR 1926.602 and WAC 296-155-615, earthmoving equipment such as scrapers, loaders, crawler or wheel tractors, bulldozers, off-highway trucks, graders, agricultural and industrial tractors, and similar equipment shall be equipped with seat belts.</w:t>
      </w:r>
    </w:p>
    <w:p>
      <w:pPr>
        <w:pStyle w:val="ListNumber"/>
      </w:pPr>
      <w:r>
        <w:t>Seat belts shall meet the requirements of the Society of Automotive Engineers, J386-1969, Seat Belts for Construction Equipment.</w:t>
      </w:r>
    </w:p>
    <w:p>
      <w:pPr>
        <w:pStyle w:val="ListNumber"/>
      </w:pPr>
      <w:r>
        <w:t>All earthmoving equipment shall have a rollover protective structure (ROPS) that meets the requirements of WAC 296-155 Part V.</w:t>
      </w:r>
    </w:p>
    <w:p>
      <w:pPr>
        <w:pStyle w:val="ListNumber"/>
      </w:pPr>
      <w:r>
        <w:t>Bi-directional machines, such as rollers, compacters, front-end loaders, bulldozers, and similar equipment, shall be equipped with a horn, distinguishable from the surrounding noise level, which shall be operated as needed when the machine is moving in either direction.</w:t>
      </w:r>
    </w:p>
    <w:p>
      <w:pPr>
        <w:pStyle w:val="Heading2"/>
      </w:pPr>
      <w:r>
        <w:t>5.5 Preventative Maintenance Program</w:t>
      </w:r>
    </w:p>
    <w:p>
      <w:pPr>
        <w:pStyle w:val="ListNumber"/>
      </w:pPr>
      <w:r>
        <w:t>MHC shall maintain a preventative maintenance program for all company-owned equipment based on the manufacturer's recommendations.</w:t>
      </w:r>
    </w:p>
    <w:p>
      <w:pPr>
        <w:pStyle w:val="ListNumber"/>
      </w:pPr>
      <w:r>
        <w:t>Maintenance schedules shall be tracked using the company's fleet management software or designated maintenance logs.</w:t>
      </w:r>
    </w:p>
    <w:p>
      <w:pPr>
        <w:pStyle w:val="ListNumber"/>
      </w:pPr>
      <w:r>
        <w:t>Only qualified mechanics or authorized service providers shall perform maintenance and repairs on equipment.</w:t>
      </w:r>
    </w:p>
    <w:p>
      <w:pPr>
        <w:pStyle w:val="ListNumber"/>
      </w:pPr>
      <w:r>
        <w:t>All replacement parts must meet or exceed the original equipment manufacturer (OEM) specifications.</w:t>
      </w:r>
    </w:p>
    <w:p>
      <w:pPr>
        <w:pStyle w:val="Heading2"/>
      </w:pPr>
      <w:r>
        <w:t>5.6 Lockout/Tagout (LOTO) during Maintenance</w:t>
      </w:r>
    </w:p>
    <w:p>
      <w:pPr>
        <w:pStyle w:val="ListNumber"/>
      </w:pPr>
      <w:r>
        <w:t>Before any maintenance, inspection, or repair work is performed where the unexpected energization, start-up, or release of stored energy could cause injury, the equipment must be isolated and rendered inoperative.</w:t>
      </w:r>
    </w:p>
    <w:p>
      <w:pPr>
        <w:pStyle w:val="ListNumber"/>
      </w:pPr>
      <w:r>
        <w:t>Employees performing the maintenance must apply their personal lockout/tagout devices in accordance with the MHC Lockout/Tagout Program.</w:t>
      </w:r>
    </w:p>
    <w:p>
      <w:pPr>
        <w:pStyle w:val="ListNumber"/>
      </w:pPr>
      <w:r>
        <w:t>Stored energy (such as hydraulic pressure, pneumatic pressure, or gravity) must be dissipated or restrained by methods such as grounding, repositioning, blocking, or bleeding down.</w:t>
      </w:r>
    </w:p>
    <w:p>
      <w:pPr>
        <w:pStyle w:val="Heading2"/>
      </w:pPr>
      <w:r>
        <w:t>5.7 Modifications and Alterations</w:t>
      </w:r>
    </w:p>
    <w:p>
      <w:pPr>
        <w:pStyle w:val="ListNumber"/>
      </w:pPr>
      <w:r>
        <w:t>No modifications or additions which affect the capacity or safe operation of the equipment shall be made without the manufacturer's written approval.</w:t>
      </w:r>
    </w:p>
    <w:p>
      <w:pPr>
        <w:pStyle w:val="ListNumber"/>
      </w:pPr>
      <w:r>
        <w:t>If such modifications or changes are made, the capacity, operation, and maintenance instruction plates, tags, or decals shall be changed accordingly.</w:t>
      </w:r>
    </w:p>
    <w:p>
      <w:pPr>
        <w:pStyle w:val="ListNumber"/>
      </w:pPr>
      <w:r>
        <w:t>In no case shall the original safety factor of the equipment be reduced.</w:t>
      </w:r>
    </w:p>
    <w:p>
      <w:pPr>
        <w:pStyle w:val="Heading2"/>
      </w:pPr>
      <w:r>
        <w:t>5.8 Washington State Specific Requirements (WISHA)</w:t>
      </w:r>
    </w:p>
    <w:p>
      <w:pPr>
        <w:pStyle w:val="ListNumber"/>
      </w:pPr>
      <w:r>
        <w:t>In accordance with WAC 296-155-605, all equipment must be inspected by a competent person before each use and during use to ensure it is in safe operating condition.</w:t>
      </w:r>
    </w:p>
    <w:p>
      <w:pPr>
        <w:pStyle w:val="ListNumber"/>
      </w:pPr>
      <w:r>
        <w:t>Any equipment found to be unsafe must be tagged out of service and not used until repaired by a qualified person.</w:t>
      </w:r>
    </w:p>
    <w:p>
      <w:pPr>
        <w:pStyle w:val="ListNumber"/>
      </w:pPr>
      <w:r>
        <w:t>Operators must be protected from falling objects by overhead protection (FOPS) when operating equipment in areas where such hazards exist.</w:t>
      </w:r>
    </w:p>
    <w:p>
      <w:pPr>
        <w:pStyle w:val="Heading1"/>
      </w:pPr>
      <w:r>
        <w:t>6. Training Requirements</w:t>
      </w:r>
    </w:p>
    <w:p>
      <w:r>
        <w:t>All employees who operate, inspect, or maintain equipment must receive appropriate training prior to being assigned such duties. Training shall include:</w:t>
      </w:r>
    </w:p>
    <w:p>
      <w:pPr>
        <w:pStyle w:val="ListBullet"/>
      </w:pPr>
      <w:r>
        <w:t>Classroom or online instruction covering the specific equipment type, operating characteristics, and hazards.</w:t>
      </w:r>
    </w:p>
    <w:p>
      <w:pPr>
        <w:pStyle w:val="ListBullet"/>
      </w:pPr>
      <w:r>
        <w:t>Practical, hands-on evaluation by a competent person demonstrating the employee's ability to safely operate the equipment.</w:t>
      </w:r>
    </w:p>
    <w:p>
      <w:pPr>
        <w:pStyle w:val="ListBullet"/>
      </w:pPr>
      <w:r>
        <w:t>Review of the manufacturer's operator manual and this MISH policy.</w:t>
      </w:r>
    </w:p>
    <w:p>
      <w:pPr>
        <w:pStyle w:val="ListBullet"/>
      </w:pPr>
      <w:r>
        <w:t>Specific training on conducting pre-shift inspections and identifying defects.</w:t>
      </w:r>
    </w:p>
    <w:p>
      <w:r>
        <w:t>Refresher training and evaluation shall be conducted at least every three years, or sooner if the operator is observed operating unsafely, is involved in an accident or near-miss, or is assigned to a different type of equipment.</w:t>
      </w:r>
    </w:p>
    <w:p>
      <w:pPr>
        <w:pStyle w:val="Heading1"/>
      </w:pPr>
      <w:r>
        <w:t>7. Inspection and Enforcement</w:t>
      </w:r>
    </w:p>
    <w:p>
      <w:r>
        <w:t>Compliance with this policy will be monitored through:</w:t>
      </w:r>
    </w:p>
    <w:p>
      <w:pPr>
        <w:pStyle w:val="ListBullet"/>
      </w:pPr>
      <w:r>
        <w:t>Daily review of pre-shift inspection checklists by site supervisors.</w:t>
      </w:r>
    </w:p>
    <w:p>
      <w:pPr>
        <w:pStyle w:val="ListBullet"/>
      </w:pPr>
      <w:r>
        <w:t>Weekly site safety walks conducted by the Safety Officer or designated competent person.</w:t>
      </w:r>
    </w:p>
    <w:p>
      <w:pPr>
        <w:pStyle w:val="ListBullet"/>
      </w:pPr>
      <w:r>
        <w:t>Periodic audits of maintenance records and equipment condition by MHC management.</w:t>
      </w:r>
    </w:p>
    <w:p>
      <w:r>
        <w:t>Any equipment found operating with safety-critical defects or without a documented pre-shift inspection will be immediately shut down. The supervisor will investigate the root cause and implement corrective actions before the equipment is returned to service.</w:t>
      </w:r>
    </w:p>
    <w:p>
      <w:pPr>
        <w:pStyle w:val="Heading1"/>
      </w:pPr>
      <w:r>
        <w:t>8. Recordkeeping</w:t>
      </w:r>
    </w:p>
    <w:p>
      <w:r>
        <w:t>The following records shall be maintained by the Safety Officer or designated personnel:</w:t>
      </w:r>
    </w:p>
    <w:p>
      <w:pPr>
        <w:pStyle w:val="ListBullet"/>
      </w:pPr>
      <w:r>
        <w:t>Daily pre-shift inspection checklists: Retained for the duration of the project or at least 90 days, whichever is longer.</w:t>
      </w:r>
    </w:p>
    <w:p>
      <w:pPr>
        <w:pStyle w:val="ListBullet"/>
      </w:pPr>
      <w:r>
        <w:t>Preventative maintenance and repair records: Retained for the life of the equipment.</w:t>
      </w:r>
    </w:p>
    <w:p>
      <w:pPr>
        <w:pStyle w:val="ListBullet"/>
      </w:pPr>
      <w:r>
        <w:t>Operator training and evaluation records: Retained for the duration of employment plus three years.</w:t>
      </w:r>
    </w:p>
    <w:p>
      <w:pPr>
        <w:pStyle w:val="ListBullet"/>
      </w:pPr>
      <w:r>
        <w:t>Manufacturer's manuals: Kept with the equipment or readily available on site.</w:t>
      </w:r>
    </w:p>
    <w:p>
      <w:pPr>
        <w:pStyle w:val="Heading1"/>
      </w:pPr>
      <w:r>
        <w:t>9. Violation Consequences</w:t>
      </w:r>
    </w:p>
    <w:p>
      <w:r>
        <w:t>Failure to comply with this Equipment Maintenance and Inspection policy, including operating defective equipment, failing to conduct pre-shift inspections, or bypassing safety devices, will result in disciplinary action up to and including termination of employment or contract. MHC utilizes a progressive discipline policy:</w:t>
      </w:r>
    </w:p>
    <w:p>
      <w:pPr>
        <w:pStyle w:val="ListNumber"/>
      </w:pPr>
      <w:r>
        <w:t>First Offense: Verbal warning and documented retraining.</w:t>
      </w:r>
    </w:p>
    <w:p>
      <w:pPr>
        <w:pStyle w:val="ListNumber"/>
      </w:pPr>
      <w:r>
        <w:t>Second Offense: Written warning and potential suspension from equipment operation duties.</w:t>
      </w:r>
    </w:p>
    <w:p>
      <w:pPr>
        <w:pStyle w:val="ListNumber"/>
      </w:pPr>
      <w:r>
        <w:t>Third Offense: Termination of employment or removal of the subcontractor from the project.</w:t>
      </w:r>
    </w:p>
    <w:p>
      <w:r>
        <w:t>Severe violations, such as intentionally disabling safety devices (e.g., backup alarms) or operating equipment in a reckless manner that endangers life, may result in immediate termination without prior warnings.</w:t>
      </w:r>
    </w:p>
    <w:p>
      <w:pPr>
        <w:pStyle w:val="Heading1"/>
      </w:pPr>
      <w:r>
        <w:t>10. References</w:t>
      </w:r>
    </w:p>
    <w:p>
      <w:pPr>
        <w:pStyle w:val="ListBullet"/>
      </w:pPr>
      <w:r>
        <w:t>OSHA 29 CFR 1926 Subpart O - Motor Vehicles, Mechanized Equipment, and Marine Operations</w:t>
      </w:r>
    </w:p>
    <w:p>
      <w:pPr>
        <w:pStyle w:val="ListBullet"/>
      </w:pPr>
      <w:r>
        <w:t>OSHA 29 CFR 1926.600 - Equipment</w:t>
      </w:r>
    </w:p>
    <w:p>
      <w:pPr>
        <w:pStyle w:val="ListBullet"/>
      </w:pPr>
      <w:r>
        <w:t>OSHA 29 CFR 1926.602 - Material Handling Equipment</w:t>
      </w:r>
    </w:p>
    <w:p>
      <w:pPr>
        <w:pStyle w:val="ListBullet"/>
      </w:pPr>
      <w:r>
        <w:t>WISHA WAC 296-155-605 - Equipment</w:t>
      </w:r>
    </w:p>
    <w:p>
      <w:pPr>
        <w:pStyle w:val="ListBullet"/>
      </w:pPr>
      <w:r>
        <w:t>WISHA WAC 296-155-610 - Motor Vehicles on Construction Sites</w:t>
      </w:r>
    </w:p>
    <w:p>
      <w:pPr>
        <w:pStyle w:val="ListBullet"/>
      </w:pPr>
      <w:r>
        <w:t>WISHA WAC 296-155-615 - Material Handling Equipment</w:t>
      </w:r>
    </w:p>
    <w:p>
      <w:pPr>
        <w:pStyle w:val="ListBullet"/>
      </w:pPr>
      <w:r>
        <w:t>AGC Safety and Health Manual Chapter 13</w:t>
      </w:r>
    </w:p>
    <w:p>
      <w:pPr>
        <w:pStyle w:val="ListBullet"/>
      </w:pPr>
      <w:r>
        <w:t>MHC Lockout/Tagout (LOTO) Program</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3628564-0359-4317-AC48-9A609FECDFCC}"/>
</file>

<file path=customXml/itemProps3.xml><?xml version="1.0" encoding="utf-8"?>
<ds:datastoreItem xmlns:ds="http://schemas.openxmlformats.org/officeDocument/2006/customXml" ds:itemID="{27228365-EDD3-45C7-B796-FBFA1FF0C983}"/>
</file>

<file path=customXml/itemProps4.xml><?xml version="1.0" encoding="utf-8"?>
<ds:datastoreItem xmlns:ds="http://schemas.openxmlformats.org/officeDocument/2006/customXml" ds:itemID="{A4A53857-3085-4488-99E9-A080B879595A}"/>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