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MH CONSTRUCTION, INC.</w:t>
      </w:r>
    </w:p>
    <w:p>
      <w:r>
        <w:t>Industrial Safety &amp; Health Program (MISH)</w:t>
      </w:r>
    </w:p>
    <w:p>
      <w:r>
        <w:rPr>
          <w:b/>
        </w:rPr>
        <w:t>MISH 22 Use and Handling of Scaffolds</w:t>
      </w:r>
    </w:p>
    <w:p>
      <w:r>
        <w:t>Revision 3 | Effective: 04/07/2026 | Safety Officer: Matt Ramsey</w:t>
      </w:r>
    </w:p>
    <w:p>
      <w:r>
        <w:t>――――――――――――――――――――――――――――――――――――――――――――――――――――――――――――――――――――――――――――――――</w:t>
      </w:r>
    </w:p>
    <w:p>
      <w:pPr>
        <w:pStyle w:val="Heading1Custom"/>
      </w:pPr>
      <w:r>
        <w:t>REGULATORY AUTHORITY</w:t>
      </w:r>
    </w:p>
    <w:tbl>
      <w:tblPr>
        <w:tblW w:type="auto" w:w="0"/>
        <w:tblLayout w:type="autofit"/>
        <w:tblLook w:firstColumn="1" w:firstRow="1" w:lastColumn="0" w:lastRow="0" w:noHBand="0" w:noVBand="1" w:val="04A0"/>
      </w:tblPr>
      <w:tblGrid>
        <w:gridCol w:w="2160"/>
        <w:gridCol w:w="2880"/>
        <w:gridCol w:w="5760"/>
      </w:tblGrid>
      <w:tr>
        <w:tc>
          <w:tcPr>
            <w:tcW w:type="dxa" w:w="3000"/>
          </w:tcPr>
          <w:p>
            <w:r>
              <w:rPr>
                <w:b/>
              </w:rPr>
              <w:t>Authority</w:t>
            </w:r>
          </w:p>
        </w:tc>
        <w:tc>
          <w:tcPr>
            <w:tcW w:type="dxa" w:w="3000"/>
          </w:tcPr>
          <w:p>
            <w:r>
              <w:rPr>
                <w:b/>
              </w:rPr>
              <w:t>Citation</w:t>
            </w:r>
          </w:p>
        </w:tc>
        <w:tc>
          <w:tcPr>
            <w:tcW w:type="dxa" w:w="3000"/>
          </w:tcPr>
          <w:p>
            <w:r>
              <w:rPr>
                <w:b/>
              </w:rPr>
              <w:t>Title/Description</w:t>
            </w:r>
          </w:p>
        </w:tc>
      </w:tr>
      <w:tr>
        <w:tc>
          <w:tcPr>
            <w:tcW w:type="dxa" w:w="2160"/>
          </w:tcPr>
          <w:p>
            <w:r>
              <w:t>OSHA</w:t>
            </w:r>
          </w:p>
        </w:tc>
        <w:tc>
          <w:tcPr>
            <w:tcW w:type="dxa" w:w="2880"/>
          </w:tcPr>
          <w:p>
            <w:r>
              <w:t>29 CFR 1926 Subpart L</w:t>
            </w:r>
          </w:p>
        </w:tc>
        <w:tc>
          <w:tcPr>
            <w:tcW w:type="dxa" w:w="5760"/>
          </w:tcPr>
          <w:p>
            <w:r/>
          </w:p>
        </w:tc>
      </w:tr>
      <w:tr>
        <w:tc>
          <w:tcPr>
            <w:tcW w:type="dxa" w:w="2160"/>
          </w:tcPr>
          <w:p>
            <w:r>
              <w:t>OSHA</w:t>
            </w:r>
          </w:p>
        </w:tc>
        <w:tc>
          <w:tcPr>
            <w:tcW w:type="dxa" w:w="2880"/>
          </w:tcPr>
          <w:p>
            <w:r>
              <w:t>29 CFR 1926.450 Scope</w:t>
            </w:r>
          </w:p>
        </w:tc>
        <w:tc>
          <w:tcPr>
            <w:tcW w:type="dxa" w:w="5760"/>
          </w:tcPr>
          <w:p>
            <w:r/>
          </w:p>
        </w:tc>
      </w:tr>
      <w:tr>
        <w:tc>
          <w:tcPr>
            <w:tcW w:type="dxa" w:w="2160"/>
          </w:tcPr>
          <w:p>
            <w:r>
              <w:t>OSHA</w:t>
            </w:r>
          </w:p>
        </w:tc>
        <w:tc>
          <w:tcPr>
            <w:tcW w:type="dxa" w:w="2880"/>
          </w:tcPr>
          <w:p>
            <w:r>
              <w:t>29 CFR 1926.451 General Requirements</w:t>
            </w:r>
          </w:p>
        </w:tc>
        <w:tc>
          <w:tcPr>
            <w:tcW w:type="dxa" w:w="5760"/>
          </w:tcPr>
          <w:p>
            <w:r/>
          </w:p>
        </w:tc>
      </w:tr>
      <w:tr>
        <w:tc>
          <w:tcPr>
            <w:tcW w:type="dxa" w:w="2160"/>
          </w:tcPr>
          <w:p>
            <w:r>
              <w:t>OSHA</w:t>
            </w:r>
          </w:p>
        </w:tc>
        <w:tc>
          <w:tcPr>
            <w:tcW w:type="dxa" w:w="2880"/>
          </w:tcPr>
          <w:p>
            <w:r>
              <w:t>29 CFR 1926.452 Additional Requirements</w:t>
            </w:r>
          </w:p>
        </w:tc>
        <w:tc>
          <w:tcPr>
            <w:tcW w:type="dxa" w:w="5760"/>
          </w:tcPr>
          <w:p>
            <w:r/>
          </w:p>
        </w:tc>
      </w:tr>
      <w:tr>
        <w:tc>
          <w:tcPr>
            <w:tcW w:type="dxa" w:w="2160"/>
          </w:tcPr>
          <w:p>
            <w:r>
              <w:t>OSHA</w:t>
            </w:r>
          </w:p>
        </w:tc>
        <w:tc>
          <w:tcPr>
            <w:tcW w:type="dxa" w:w="2880"/>
          </w:tcPr>
          <w:p>
            <w:r>
              <w:t>29 CFR 1926.454 Training Requirements</w:t>
            </w:r>
          </w:p>
        </w:tc>
        <w:tc>
          <w:tcPr>
            <w:tcW w:type="dxa" w:w="5760"/>
          </w:tcPr>
          <w:p>
            <w:r/>
          </w:p>
        </w:tc>
      </w:tr>
      <w:tr>
        <w:tc>
          <w:tcPr>
            <w:tcW w:type="dxa" w:w="2160"/>
          </w:tcPr>
          <w:p>
            <w:r>
              <w:t>WISHA</w:t>
            </w:r>
          </w:p>
        </w:tc>
        <w:tc>
          <w:tcPr>
            <w:tcW w:type="dxa" w:w="2880"/>
          </w:tcPr>
          <w:p>
            <w:r>
              <w:t>WAC 296-869 Scaffolds</w:t>
            </w:r>
          </w:p>
        </w:tc>
        <w:tc>
          <w:tcPr>
            <w:tcW w:type="dxa" w:w="5760"/>
          </w:tcPr>
          <w:p>
            <w:r>
              <w:t>replaces WAC 296-155 Part J-1</w:t>
            </w:r>
          </w:p>
        </w:tc>
      </w:tr>
      <w:tr>
        <w:tc>
          <w:tcPr>
            <w:tcW w:type="dxa" w:w="2160"/>
          </w:tcPr>
          <w:p>
            <w:r>
              <w:t>AGC</w:t>
            </w:r>
          </w:p>
        </w:tc>
        <w:tc>
          <w:tcPr>
            <w:tcW w:type="dxa" w:w="2880"/>
          </w:tcPr>
          <w:p>
            <w:r>
              <w:t>Safety and Health Manual</w:t>
            </w:r>
          </w:p>
        </w:tc>
        <w:tc>
          <w:tcPr>
            <w:tcW w:type="dxa" w:w="5760"/>
          </w:tcPr>
          <w:p>
            <w:r>
              <w:t>Ch. 16 Scaffolding</w:t>
            </w:r>
          </w:p>
        </w:tc>
      </w:tr>
    </w:tbl>
    <w:p/>
    <w:p>
      <w:pPr>
        <w:pStyle w:val="Heading1Custom"/>
      </w:pPr>
      <w:r>
        <w:t>PURPOSE</w:t>
      </w:r>
    </w:p>
    <w:p>
      <w:r>
        <w:t>This policy establishes guidelines for the safe use and handling of scaffolds to prevent falls, structural collapses, and other related hazards. It aims to protect all personnel on MH Construction job sites from injuries associated with scaffold erection, dismantling, and use, ensuring compliance with regulatory standards.</w:t>
      </w:r>
    </w:p>
    <w:p>
      <w:pPr>
        <w:pStyle w:val="Heading1Custom"/>
      </w:pPr>
      <w:r>
        <w:t>SCOPE</w:t>
      </w:r>
    </w:p>
    <w:p>
      <w:r>
        <w:t>This policy applies to all MH Construction employees, subcontractors, and visitors who may erect, dismantle, inspect, or work on or near scaffolds on any MH Construction job site.</w:t>
      </w:r>
    </w:p>
    <w:p>
      <w:pPr>
        <w:pStyle w:val="Heading1Custom"/>
      </w:pPr>
      <w:r>
        <w:t>DEFINITIONS</w:t>
      </w:r>
    </w:p>
    <w:tbl>
      <w:tblPr>
        <w:tblW w:type="auto" w:w="0"/>
        <w:tblLayout w:type="autofit"/>
        <w:tblLook w:firstColumn="1" w:firstRow="1" w:lastColumn="0" w:lastRow="0" w:noHBand="0" w:noVBand="1" w:val="04A0"/>
      </w:tblPr>
      <w:tblGrid>
        <w:gridCol w:w="2880"/>
        <w:gridCol w:w="8640"/>
      </w:tblGrid>
      <w:tr>
        <w:tc>
          <w:tcPr>
            <w:tcW w:type="dxa" w:w="4500"/>
          </w:tcPr>
          <w:p>
            <w:r>
              <w:rPr>
                <w:b/>
              </w:rPr>
              <w:t>Term</w:t>
            </w:r>
          </w:p>
        </w:tc>
        <w:tc>
          <w:tcPr>
            <w:tcW w:type="dxa" w:w="4500"/>
          </w:tcPr>
          <w:p>
            <w:r>
              <w:rPr>
                <w:b/>
              </w:rPr>
              <w:t>Definition</w:t>
            </w:r>
          </w:p>
        </w:tc>
      </w:tr>
      <w:tr>
        <w:tc>
          <w:tcPr>
            <w:tcW w:type="dxa" w:w="2880"/>
          </w:tcPr>
          <w:p>
            <w:r>
              <w:t>Competent Person</w:t>
            </w:r>
          </w:p>
        </w:tc>
        <w:tc>
          <w:tcPr>
            <w:tcW w:type="dxa" w:w="8640"/>
          </w:tcPr>
          <w:p>
            <w:r>
              <w:t>An individual designated by the employer who is capable of identifying existing and foreseeable hazards in the surroundings or working conditions which are unsanitary, hazardous, or dangerous to employees, and who has authorization to take prompt corrective measures to eliminate them.</w:t>
            </w:r>
          </w:p>
        </w:tc>
      </w:tr>
      <w:tr>
        <w:tc>
          <w:tcPr>
            <w:tcW w:type="dxa" w:w="2880"/>
          </w:tcPr>
          <w:p>
            <w:r>
              <w:t>Scaffold</w:t>
            </w:r>
          </w:p>
        </w:tc>
        <w:tc>
          <w:tcPr>
            <w:tcW w:type="dxa" w:w="8640"/>
          </w:tcPr>
          <w:p>
            <w:r>
              <w:t>Any temporary elevated platform (supported or suspended) and its supporting structure (including points of anchorage), used to support employees or materials.</w:t>
            </w:r>
          </w:p>
        </w:tc>
      </w:tr>
      <w:tr>
        <w:tc>
          <w:tcPr>
            <w:tcW w:type="dxa" w:w="2880"/>
          </w:tcPr>
          <w:p>
            <w:r>
              <w:t>Guardrail System</w:t>
            </w:r>
          </w:p>
        </w:tc>
        <w:tc>
          <w:tcPr>
            <w:tcW w:type="dxa" w:w="8640"/>
          </w:tcPr>
          <w:p>
            <w:r>
              <w:t>A barrier erected to prevent employees from falling to lower levels.</w:t>
            </w:r>
          </w:p>
        </w:tc>
      </w:tr>
      <w:tr>
        <w:tc>
          <w:tcPr>
            <w:tcW w:type="dxa" w:w="2880"/>
          </w:tcPr>
          <w:p>
            <w:r>
              <w:t>Toeboard</w:t>
            </w:r>
          </w:p>
        </w:tc>
        <w:tc>
          <w:tcPr>
            <w:tcW w:type="dxa" w:w="8640"/>
          </w:tcPr>
          <w:p>
            <w:r>
              <w:t>A low protective barrier erected along the edge of a walking-working surface to prevent the fall of materials and equipment.</w:t>
            </w:r>
          </w:p>
        </w:tc>
      </w:tr>
      <w:tr>
        <w:tc>
          <w:tcPr>
            <w:tcW w:type="dxa" w:w="2880"/>
          </w:tcPr>
          <w:p>
            <w:r>
              <w:t>Planking</w:t>
            </w:r>
          </w:p>
        </w:tc>
        <w:tc>
          <w:tcPr>
            <w:tcW w:type="dxa" w:w="8640"/>
          </w:tcPr>
          <w:p>
            <w:r>
              <w:t>The scaffold platforms, decks, or work surfaces.</w:t>
            </w:r>
          </w:p>
        </w:tc>
      </w:tr>
    </w:tbl>
    <w:p/>
    <w:p>
      <w:pPr>
        <w:pStyle w:val="Heading1Custom"/>
      </w:pPr>
      <w:r>
        <w:t>RESPONSIBILITIES</w:t>
      </w:r>
    </w:p>
    <w:p>
      <w:pPr>
        <w:pStyle w:val="Heading2Custom"/>
      </w:pPr>
      <w:r>
        <w:t>Company/Management Responsibilities</w:t>
      </w:r>
    </w:p>
    <w:p>
      <w:pPr>
        <w:pStyle w:val="ListBullet"/>
      </w:pPr>
      <w:r>
        <w:t>• Provide a safe work environment and ensure all scaffold operations comply with OSHA and WISHA regulations.</w:t>
      </w:r>
    </w:p>
    <w:p>
      <w:pPr>
        <w:pStyle w:val="ListBullet"/>
      </w:pPr>
      <w:r>
        <w:t>• Ensure that only qualified and trained personnel are involved in scaffold erection, dismantling, and inspection.</w:t>
      </w:r>
    </w:p>
    <w:p>
      <w:pPr>
        <w:pStyle w:val="ListBullet"/>
      </w:pPr>
      <w:r>
        <w:t>• Provide necessary resources, including appropriate equipment and personal protective equipment (PPE).</w:t>
      </w:r>
    </w:p>
    <w:p>
      <w:pPr>
        <w:pStyle w:val="Heading2Custom"/>
      </w:pPr>
      <w:r>
        <w:t>Supervisor/Foreman Responsibilities</w:t>
      </w:r>
    </w:p>
    <w:p>
      <w:pPr>
        <w:pStyle w:val="ListBullet"/>
      </w:pPr>
      <w:r>
        <w:t>• Designate a Competent Person for all scaffold-related activities.</w:t>
      </w:r>
    </w:p>
    <w:p>
      <w:pPr>
        <w:pStyle w:val="ListBullet"/>
      </w:pPr>
      <w:r>
        <w:t>• Ensure daily inspections of scaffolds are conducted by a Competent Person before each shift and after any event that could affect structural integrity.</w:t>
      </w:r>
    </w:p>
    <w:p>
      <w:pPr>
        <w:pStyle w:val="ListBullet"/>
      </w:pPr>
      <w:r>
        <w:t>• Verify that all employees working on or near scaffolds have received adequate training.</w:t>
      </w:r>
    </w:p>
    <w:p>
      <w:pPr>
        <w:pStyle w:val="ListBullet"/>
      </w:pPr>
      <w:r>
        <w:t>• Implement corrective actions promptly for any identified scaffold hazards.</w:t>
      </w:r>
    </w:p>
    <w:p>
      <w:pPr>
        <w:pStyle w:val="Heading2Custom"/>
      </w:pPr>
      <w:r>
        <w:t>Employee Responsibilities</w:t>
      </w:r>
    </w:p>
    <w:p>
      <w:pPr>
        <w:pStyle w:val="ListBullet"/>
      </w:pPr>
      <w:r>
        <w:t>• Adhere to all scaffold safety procedures and instructions provided by the Competent Person or supervisor.</w:t>
      </w:r>
    </w:p>
    <w:p>
      <w:pPr>
        <w:pStyle w:val="ListBullet"/>
      </w:pPr>
      <w:r>
        <w:t>• Inspect scaffolds before use and report any defects or unsafe conditions immediately.</w:t>
      </w:r>
    </w:p>
    <w:p>
      <w:pPr>
        <w:pStyle w:val="ListBullet"/>
      </w:pPr>
      <w:r>
        <w:t>• Use appropriate fall protection and other PPE as required.</w:t>
      </w:r>
    </w:p>
    <w:p>
      <w:pPr>
        <w:pStyle w:val="ListBullet"/>
      </w:pPr>
      <w:r>
        <w:t>• Never alter or modify scaffolds without authorization from a Competent Person.</w:t>
      </w:r>
    </w:p>
    <w:p>
      <w:pPr>
        <w:pStyle w:val="Heading2Custom"/>
      </w:pPr>
      <w:r>
        <w:t>Subcontractor Responsibilities</w:t>
      </w:r>
    </w:p>
    <w:p>
      <w:pPr>
        <w:pStyle w:val="ListBullet"/>
      </w:pPr>
      <w:r>
        <w:t>• Ensure their employees comply with all MH Construction scaffold safety policies and applicable OSHA/WISHA regulations.</w:t>
      </w:r>
    </w:p>
    <w:p>
      <w:pPr>
        <w:pStyle w:val="ListBullet"/>
      </w:pPr>
      <w:r>
        <w:t>• Provide proof of Competent Person training and scaffold inspection records upon request.</w:t>
      </w:r>
    </w:p>
    <w:p>
      <w:pPr>
        <w:pStyle w:val="ListBullet"/>
      </w:pPr>
      <w:r>
        <w:t>• Coordinate all scaffold erection, modification, and dismantling activities with the MH Construction site supervisor.</w:t>
      </w:r>
    </w:p>
    <w:p>
      <w:pPr>
        <w:pStyle w:val="Heading1Custom"/>
      </w:pPr>
      <w:r>
        <w:t>PROCEDURES / REQUIREMENTS</w:t>
      </w:r>
    </w:p>
    <w:p>
      <w:pPr>
        <w:pStyle w:val="Heading2Custom"/>
      </w:pPr>
      <w:r>
        <w:t>7.1 General Requirements for All Scaffolds</w:t>
      </w:r>
    </w:p>
    <w:p>
      <w:r>
        <w:t>All scaffolds must be designed, erected, and maintained in accordance with 29 CFR 1926.451 and WAC 296-869. A Competent Person must supervise all scaffold work. Scaffolds must be capable of supporting, without failure, their own weight and at least four times the maximum intended load. Scaffold components must be inspected for visible defects before each use.</w:t>
      </w:r>
    </w:p>
    <w:p>
      <w:pPr>
        <w:pStyle w:val="Heading2Custom"/>
      </w:pPr>
      <w:r>
        <w:t>7.2 Fall Protection</w:t>
      </w:r>
    </w:p>
    <w:p>
      <w:r>
        <w:t>Each employee on a scaffold more than 10 feet (3.1 m) above a lower level must be protected from falling to that lower level. This protection must be provided by the use of guardrail systems, personal fall arrest systems, or both. Guardrail systems must be installed along all open sides and ends of platforms per 29 CFR 1926.451(g)(4) and WAC 296-869-20040.</w:t>
      </w:r>
    </w:p>
    <w:p>
      <w:pPr>
        <w:pStyle w:val="Heading2Custom"/>
      </w:pPr>
      <w:r>
        <w:t>7.3 Falling Object Protection</w:t>
      </w:r>
    </w:p>
    <w:p>
      <w:r>
        <w:t>Each employee on a scaffold must be provided with additional protection from falling hand tools, debris, and other small objects through the installation of toeboards, screens, or guardrail systems, or by erecting debris nets, or by implementing a canopy structure, as specified in 29 CFR 1926.451(h) and WAC 296-869-20045.</w:t>
      </w:r>
    </w:p>
    <w:p>
      <w:pPr>
        <w:pStyle w:val="Heading2Custom"/>
      </w:pPr>
      <w:r>
        <w:t>7.4 Scaffold Access</w:t>
      </w:r>
    </w:p>
    <w:p>
      <w:r>
        <w:t>Safe means of access must be provided for each employee accessing a scaffold. This includes ladders, stair towers, or ramps. Direct access from another surface is permitted only when the scaffold is not more than 14 inches (36 cm) horizontally and not more than 24 inches (61 cm) vertically from the other surface, as per 29 CFR 1926.451(e) and WAC 296-869-20035.</w:t>
      </w:r>
    </w:p>
    <w:p>
      <w:pPr>
        <w:pStyle w:val="Heading2Custom"/>
      </w:pPr>
      <w:r>
        <w:t>7.5 Scaffold Planking and Decking</w:t>
      </w:r>
    </w:p>
    <w:p>
      <w:r>
        <w:t>Each scaffold platform must be fully planked or decked between the front uprights and the guardrail supports. The space between adjacent planks must not exceed 1 inch (2.5 cm). Planks must extend over their end supports by at least 6 inches but not more than 12 inches, unless cleated or restrained by other means, in accordance with 29 CFR 1926.451(b) and WAC 296-869-20025.</w:t>
      </w:r>
    </w:p>
    <w:p>
      <w:pPr>
        <w:pStyle w:val="Heading2Custom"/>
      </w:pPr>
      <w:r>
        <w:t>7.6 Electrical Hazards</w:t>
      </w:r>
    </w:p>
    <w:p>
      <w:r>
        <w:t>Scaffolds must not be erected, used, dismantled, altered, or moved such that they or any conductive material handled on them might come closer to exposed energized power lines than the minimum approach distances specified in 29 CFR 1926.451(f)(6) and WAC 296-869-20050.</w:t>
      </w:r>
    </w:p>
    <w:p>
      <w:pPr>
        <w:pStyle w:val="Heading2Custom"/>
      </w:pPr>
      <w:r>
        <w:t>7.7 Supported Scaffolds</w:t>
      </w:r>
    </w:p>
    <w:p>
      <w:r>
        <w:t>Supported scaffolds must be braced by cross, longitudinal, or diagonal braces, or a combination thereof, to prevent racking or collapse of the scaffold. The poles, legs, or uprights of supported scaffolds must be plumb and braced to prevent swaying and displacement. Base plates and mud sills must be used on firm foundations.</w:t>
      </w:r>
    </w:p>
    <w:p>
      <w:pPr>
        <w:pStyle w:val="Heading2Custom"/>
      </w:pPr>
      <w:r>
        <w:t>7.8 Suspended Scaffolds</w:t>
      </w:r>
    </w:p>
    <w:p>
      <w:r>
        <w:t>Suspended scaffolds must be supported by outriggers, davits, or other equivalent means. All support devices must be inspected by a Competent Person before each shift. Wire ropes must be inspected for kinks, broken wires, corrosion, and other damage. Only one employee is permitted on a single-point adjustable suspended scaffold.</w:t>
      </w:r>
    </w:p>
    <w:p>
      <w:pPr>
        <w:pStyle w:val="Heading1Custom"/>
      </w:pPr>
      <w:r>
        <w:t>TRAINING REQUIREMENTS</w:t>
      </w:r>
    </w:p>
    <w:p>
      <w:r>
        <w:t>All employees who work on a scaffold must be trained by a Competent Person in the hazards associated with the type of scaffold being used and the procedures to control or minimize those hazards. Training must cover topics such as the nature of electrical hazards, fall hazards, falling object hazards, proper use of the scaffold, and handling of materials. Retraining is required when there are changes in the workplace or scaffold type, or if an employee's performance indicates a lack of understanding, as per 29 CFR 1926.454 and WAC 296-869-20060.</w:t>
      </w:r>
    </w:p>
    <w:p>
      <w:pPr>
        <w:pStyle w:val="Heading1Custom"/>
      </w:pPr>
      <w:r>
        <w:t>INSPECTION AND ENFORCEMENT</w:t>
      </w:r>
    </w:p>
    <w:p>
      <w:r>
        <w:t>Scaffolds must be inspected by a Competent Person before each work shift and after any occurrence that could affect their structural integrity. Any scaffold found to be unsafe must be immediately tagged 'DO NOT USE' and removed from service until repaired. MH Construction supervisors will conduct regular site inspections to ensure compliance with this policy. Non-compliance will result in corrective actions as outlined in the Violation Consequences section.</w:t>
      </w:r>
    </w:p>
    <w:p>
      <w:pPr>
        <w:pStyle w:val="Heading1Custom"/>
      </w:pPr>
      <w:r>
        <w:t>RECORDKEEPING</w:t>
      </w:r>
    </w:p>
    <w:p>
      <w:r>
        <w:t>Records of all scaffold inspections, maintenance, and training must be maintained by the Safety Officer for a minimum of three (3) years. These records include daily inspection logs, training rosters, and documentation of any incidents or corrective actions related to scaffold use.</w:t>
      </w:r>
    </w:p>
    <w:p>
      <w:pPr>
        <w:pStyle w:val="Heading1Custom"/>
      </w:pPr>
      <w:r>
        <w:t>VIOLATION CONSEQUENCES</w:t>
      </w:r>
    </w:p>
    <w:p>
      <w:r>
        <w:t>Violations of this scaffold safety policy will result in progressive disciplinary action, up to and including termination of employment or contract. The severity of the disciplinary action will depend on the nature and frequency of the violation, and the potential for harm. Immediate removal from scaffold-related duties may occur for serious infractions.</w:t>
      </w:r>
    </w:p>
    <w:p>
      <w:pPr>
        <w:pStyle w:val="Heading1Custom"/>
      </w:pPr>
      <w:r>
        <w:t>REFERENCES</w:t>
      </w:r>
    </w:p>
    <w:p>
      <w:pPr>
        <w:pStyle w:val="ListBullet"/>
      </w:pPr>
      <w:r>
        <w:t xml:space="preserve">• OSHA: 29 CFR 1926 Subpart L - </w:t>
      </w:r>
    </w:p>
    <w:p>
      <w:pPr>
        <w:pStyle w:val="ListBullet"/>
      </w:pPr>
      <w:r>
        <w:t xml:space="preserve">• OSHA: 29 CFR 1926.450 Scope - </w:t>
      </w:r>
    </w:p>
    <w:p>
      <w:pPr>
        <w:pStyle w:val="ListBullet"/>
      </w:pPr>
      <w:r>
        <w:t xml:space="preserve">• OSHA: 29 CFR 1926.451 General Requirements - </w:t>
      </w:r>
    </w:p>
    <w:p>
      <w:pPr>
        <w:pStyle w:val="ListBullet"/>
      </w:pPr>
      <w:r>
        <w:t xml:space="preserve">• OSHA: 29 CFR 1926.452 Additional Requirements - </w:t>
      </w:r>
    </w:p>
    <w:p>
      <w:pPr>
        <w:pStyle w:val="ListBullet"/>
      </w:pPr>
      <w:r>
        <w:t xml:space="preserve">• OSHA: 29 CFR 1926.454 Training Requirements - </w:t>
      </w:r>
    </w:p>
    <w:p>
      <w:pPr>
        <w:pStyle w:val="ListBullet"/>
      </w:pPr>
      <w:r>
        <w:t>• WISHA: WAC 296-869 Scaffolds - replaces WAC 296-155 Part J-1</w:t>
      </w:r>
    </w:p>
    <w:p>
      <w:pPr>
        <w:pStyle w:val="ListBullet"/>
      </w:pPr>
      <w:r>
        <w:t>• AGC: Safety and Health Manual - Ch. 16 Scaffolding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basedOn w:val="Heading1"/>
    <w:rPr>
      <w:rFonts w:ascii="Arial" w:hAnsi="Arial"/>
      <w:b/>
      <w:sz w:val="24"/>
    </w:rPr>
  </w:style>
  <w:style w:type="paragraph" w:customStyle="1" w:styleId="Heading2Custom">
    <w:name w:val="Heading 2 Custom"/>
    <w:basedOn w:val="Heading2"/>
    <w:rPr>
      <w:rFonts w:ascii="Arial" w:hAnsi="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E49B1E4-180D-4985-8D01-870D26BC43FC}"/>
</file>

<file path=customXml/itemProps3.xml><?xml version="1.0" encoding="utf-8"?>
<ds:datastoreItem xmlns:ds="http://schemas.openxmlformats.org/officeDocument/2006/customXml" ds:itemID="{98FFC796-C52A-449F-B239-245A68DABC74}"/>
</file>

<file path=customXml/itemProps4.xml><?xml version="1.0" encoding="utf-8"?>
<ds:datastoreItem xmlns:ds="http://schemas.openxmlformats.org/officeDocument/2006/customXml" ds:itemID="{F781AF01-F671-4C7E-A863-0CB4C1ED8EC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