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29 | Electrical Safety</w:t>
      </w:r>
    </w:p>
    <w:p>
      <w:pPr>
        <w:jc w:val="center"/>
      </w:pPr>
      <w:r>
        <w:t>Revision 3 | Effective: 04/07/2026 | Safety Officer: Matt Ramsey</w:t>
      </w:r>
    </w:p>
    <w:p>
      <w:r>
        <w:t>──────────────────────────────────────────────────────────────────────</w:t>
      </w:r>
    </w:p>
    <w:p>
      <w:pPr>
        <w:pStyle w:val="Heading1"/>
      </w:pPr>
      <w: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w:t>
            </w:r>
          </w:p>
        </w:tc>
        <w:tc>
          <w:tcPr>
            <w:tcW w:type="dxa" w:w="3000"/>
          </w:tcPr>
          <w:p>
            <w:r>
              <w:t>1926 Subpart K</w:t>
            </w:r>
          </w:p>
        </w:tc>
      </w:tr>
      <w:tr>
        <w:tc>
          <w:tcPr>
            <w:tcW w:type="dxa" w:w="3000"/>
          </w:tcPr>
          <w:p>
            <w:r>
              <w:t>OSHA</w:t>
            </w:r>
          </w:p>
        </w:tc>
        <w:tc>
          <w:tcPr>
            <w:tcW w:type="dxa" w:w="3000"/>
          </w:tcPr>
          <w:p>
            <w:r>
              <w:t>29 CFR</w:t>
            </w:r>
          </w:p>
        </w:tc>
        <w:tc>
          <w:tcPr>
            <w:tcW w:type="dxa" w:w="3000"/>
          </w:tcPr>
          <w:p>
            <w:r>
              <w:t>1926.400 Introduction</w:t>
            </w:r>
          </w:p>
        </w:tc>
      </w:tr>
      <w:tr>
        <w:tc>
          <w:tcPr>
            <w:tcW w:type="dxa" w:w="3000"/>
          </w:tcPr>
          <w:p>
            <w:r>
              <w:t>OSHA</w:t>
            </w:r>
          </w:p>
        </w:tc>
        <w:tc>
          <w:tcPr>
            <w:tcW w:type="dxa" w:w="3000"/>
          </w:tcPr>
          <w:p>
            <w:r>
              <w:t>29 CFR</w:t>
            </w:r>
          </w:p>
        </w:tc>
        <w:tc>
          <w:tcPr>
            <w:tcW w:type="dxa" w:w="3000"/>
          </w:tcPr>
          <w:p>
            <w:r>
              <w:t>1926.404 Wiring Design and Protection GFCI</w:t>
            </w:r>
          </w:p>
        </w:tc>
      </w:tr>
      <w:tr>
        <w:tc>
          <w:tcPr>
            <w:tcW w:type="dxa" w:w="3000"/>
          </w:tcPr>
          <w:p>
            <w:r>
              <w:t>OSHA</w:t>
            </w:r>
          </w:p>
        </w:tc>
        <w:tc>
          <w:tcPr>
            <w:tcW w:type="dxa" w:w="3000"/>
          </w:tcPr>
          <w:p>
            <w:r>
              <w:t>29 CFR</w:t>
            </w:r>
          </w:p>
        </w:tc>
        <w:tc>
          <w:tcPr>
            <w:tcW w:type="dxa" w:w="3000"/>
          </w:tcPr>
          <w:p>
            <w:r>
              <w:t>1926.416 General Requirements</w:t>
            </w:r>
          </w:p>
        </w:tc>
      </w:tr>
      <w:tr>
        <w:tc>
          <w:tcPr>
            <w:tcW w:type="dxa" w:w="3000"/>
          </w:tcPr>
          <w:p>
            <w:r>
              <w:t>OSHA</w:t>
            </w:r>
          </w:p>
        </w:tc>
        <w:tc>
          <w:tcPr>
            <w:tcW w:type="dxa" w:w="3000"/>
          </w:tcPr>
          <w:p>
            <w:r>
              <w:t>29 CFR</w:t>
            </w:r>
          </w:p>
        </w:tc>
        <w:tc>
          <w:tcPr>
            <w:tcW w:type="dxa" w:w="3000"/>
          </w:tcPr>
          <w:p>
            <w:r>
              <w:t>1926.417 Lockout and Tagging</w:t>
            </w:r>
          </w:p>
        </w:tc>
      </w:tr>
      <w:tr>
        <w:tc>
          <w:tcPr>
            <w:tcW w:type="dxa" w:w="3000"/>
          </w:tcPr>
          <w:p>
            <w:r>
              <w:t>WISHA</w:t>
            </w:r>
          </w:p>
        </w:tc>
        <w:tc>
          <w:tcPr>
            <w:tcW w:type="dxa" w:w="3000"/>
          </w:tcPr>
          <w:p>
            <w:r>
              <w:t>WAC 296-155-426</w:t>
            </w:r>
          </w:p>
        </w:tc>
        <w:tc>
          <w:tcPr>
            <w:tcW w:type="dxa" w:w="3000"/>
          </w:tcPr>
          <w:p>
            <w:r>
              <w:t>Introduction</w:t>
            </w:r>
          </w:p>
        </w:tc>
      </w:tr>
      <w:tr>
        <w:tc>
          <w:tcPr>
            <w:tcW w:type="dxa" w:w="3000"/>
          </w:tcPr>
          <w:p>
            <w:r>
              <w:t>WISHA</w:t>
            </w:r>
          </w:p>
        </w:tc>
        <w:tc>
          <w:tcPr>
            <w:tcW w:type="dxa" w:w="3000"/>
          </w:tcPr>
          <w:p>
            <w:r>
              <w:t>WAC 296-155-428</w:t>
            </w:r>
          </w:p>
        </w:tc>
        <w:tc>
          <w:tcPr>
            <w:tcW w:type="dxa" w:w="3000"/>
          </w:tcPr>
          <w:p>
            <w:r>
              <w:t>General Requirements</w:t>
            </w:r>
          </w:p>
        </w:tc>
      </w:tr>
      <w:tr>
        <w:tc>
          <w:tcPr>
            <w:tcW w:type="dxa" w:w="3000"/>
          </w:tcPr>
          <w:p>
            <w:r>
              <w:t>WISHA</w:t>
            </w:r>
          </w:p>
        </w:tc>
        <w:tc>
          <w:tcPr>
            <w:tcW w:type="dxa" w:w="3000"/>
          </w:tcPr>
          <w:p>
            <w:r>
              <w:t>WAC 296-155-429</w:t>
            </w:r>
          </w:p>
        </w:tc>
        <w:tc>
          <w:tcPr>
            <w:tcW w:type="dxa" w:w="3000"/>
          </w:tcPr>
          <w:p>
            <w:r>
              <w:t>Lockout and Tagging of Circuits</w:t>
            </w:r>
          </w:p>
        </w:tc>
      </w:tr>
      <w:tr>
        <w:tc>
          <w:tcPr>
            <w:tcW w:type="dxa" w:w="3000"/>
          </w:tcPr>
          <w:p>
            <w:r>
              <w:t>WISHA</w:t>
            </w:r>
          </w:p>
        </w:tc>
        <w:tc>
          <w:tcPr>
            <w:tcW w:type="dxa" w:w="3000"/>
          </w:tcPr>
          <w:p>
            <w:r>
              <w:t>WAC 296-155-444</w:t>
            </w:r>
          </w:p>
        </w:tc>
        <w:tc>
          <w:tcPr>
            <w:tcW w:type="dxa" w:w="3000"/>
          </w:tcPr>
          <w:p>
            <w:r>
              <w:t>General Requirements</w:t>
            </w:r>
          </w:p>
        </w:tc>
      </w:tr>
      <w:tr>
        <w:tc>
          <w:tcPr>
            <w:tcW w:type="dxa" w:w="3000"/>
          </w:tcPr>
          <w:p>
            <w:r>
              <w:t>WISHA</w:t>
            </w:r>
          </w:p>
        </w:tc>
        <w:tc>
          <w:tcPr>
            <w:tcW w:type="dxa" w:w="3000"/>
          </w:tcPr>
          <w:p>
            <w:r>
              <w:t>WAC 296-155-447</w:t>
            </w:r>
          </w:p>
        </w:tc>
        <w:tc>
          <w:tcPr>
            <w:tcW w:type="dxa" w:w="3000"/>
          </w:tcPr>
          <w:p>
            <w:r>
              <w:t>Wiring Design and Protection</w:t>
            </w:r>
          </w:p>
        </w:tc>
      </w:tr>
      <w:tr>
        <w:tc>
          <w:tcPr>
            <w:tcW w:type="dxa" w:w="3000"/>
          </w:tcPr>
          <w:p>
            <w:r>
              <w:t>AGC</w:t>
            </w:r>
          </w:p>
        </w:tc>
        <w:tc>
          <w:tcPr>
            <w:tcW w:type="dxa" w:w="3000"/>
          </w:tcPr>
          <w:p>
            <w:r>
              <w:t>Health Manual Ch. 21 Electrical Safety</w:t>
            </w:r>
          </w:p>
        </w:tc>
        <w:tc>
          <w:tcPr>
            <w:tcW w:type="dxa" w:w="3000"/>
          </w:tcPr>
          <w:p>
            <w:r>
              <w:t>Manual Ch. 21 Electrical Safety</w:t>
            </w:r>
          </w:p>
        </w:tc>
      </w:tr>
    </w:tbl>
    <w:p>
      <w:pPr>
        <w:pStyle w:val="Heading1"/>
      </w:pPr>
      <w:r>
        <w:t>2. PURPOSE</w:t>
      </w:r>
    </w:p>
    <w:p>
      <w:r>
        <w:t>This policy establishes guidelines and procedures to protect all personnel from electrical hazards encountered on MH Construction job sites. It aims to prevent electrical shocks, burns, fires, and explosions, ensuring a safe working environment in compliance with applicable regulatory standards.</w:t>
      </w:r>
    </w:p>
    <w:p>
      <w:pPr>
        <w:pStyle w:val="Heading1"/>
      </w:pPr>
      <w:r>
        <w:t>3. SCOPE</w:t>
      </w:r>
    </w:p>
    <w:p>
      <w:r>
        <w:t>This policy applies to all MH Construction employees, subcontractors, and visitors present on any MH Construction job site where electrical work or exposure to electrical hazards may occur.</w:t>
      </w:r>
    </w:p>
    <w:p>
      <w:pPr>
        <w:pStyle w:val="Heading1"/>
      </w:pPr>
      <w:r>
        <w:t>4. 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Competent Person</w:t>
            </w:r>
          </w:p>
        </w:tc>
        <w:tc>
          <w:tcPr>
            <w:tcW w:type="dxa" w:w="4500"/>
          </w:tcPr>
          <w:p>
            <w: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Energized</w:t>
            </w:r>
          </w:p>
        </w:tc>
        <w:tc>
          <w:tcPr>
            <w:tcW w:type="dxa" w:w="4500"/>
          </w:tcPr>
          <w:p>
            <w:r>
              <w:t>Connected to an energy source or containing residual or stored energy.</w:t>
            </w:r>
          </w:p>
        </w:tc>
      </w:tr>
      <w:tr>
        <w:tc>
          <w:tcPr>
            <w:tcW w:type="dxa" w:w="4500"/>
          </w:tcPr>
          <w:p>
            <w:r>
              <w:t>Lockout/Tagout (LOTO)</w:t>
            </w:r>
          </w:p>
        </w:tc>
        <w:tc>
          <w:tcPr>
            <w:tcW w:type="dxa" w:w="4500"/>
          </w:tcPr>
          <w:p>
            <w:r>
              <w:t>The placement of a lockout device or tagout device on an energy isolating device, in accordance with an established procedure, to ensure that the energy isolating device and the equipment being controlled cannot be operated until the lockout/tagout device is removed.</w:t>
            </w:r>
          </w:p>
        </w:tc>
      </w:tr>
      <w:tr>
        <w:tc>
          <w:tcPr>
            <w:tcW w:type="dxa" w:w="4500"/>
          </w:tcPr>
          <w:p>
            <w:r>
              <w:t>Ground-Fault Circuit Interrupter (GFCI)</w:t>
            </w:r>
          </w:p>
        </w:tc>
        <w:tc>
          <w:tcPr>
            <w:tcW w:type="dxa" w:w="4500"/>
          </w:tcPr>
          <w:p>
            <w:r>
              <w:t>A device intended for the protection of personnel that functions to de-energize a circuit or portion thereof within an established period of time when a current to ground exceeds some predetermined value that is less than that required to operate the overcurrent protective device of the supply circuit.</w:t>
            </w:r>
          </w:p>
        </w:tc>
      </w:tr>
      <w:tr>
        <w:tc>
          <w:tcPr>
            <w:tcW w:type="dxa" w:w="4500"/>
          </w:tcPr>
          <w:p>
            <w:r>
              <w:t>Qualified Person</w:t>
            </w:r>
          </w:p>
        </w:tc>
        <w:tc>
          <w:tcPr>
            <w:tcW w:type="dxa" w:w="4500"/>
          </w:tcPr>
          <w:p>
            <w:r>
              <w:t>One who has demonstrated skills and knowledge related to the construction and operation of electrical equipment and installations and has received safety training to recognize and avoid the hazards involved.</w:t>
            </w:r>
          </w:p>
        </w:tc>
      </w:tr>
    </w:tbl>
    <w:p>
      <w:pPr>
        <w:pStyle w:val="Heading1"/>
      </w:pPr>
      <w:r>
        <w:t>5. RESPONSIBILITIES</w:t>
      </w:r>
    </w:p>
    <w:p>
      <w:pPr>
        <w:pStyle w:val="Heading2"/>
      </w:pPr>
      <w:r>
        <w:t>5.1 Company/Management Responsibilities</w:t>
      </w:r>
    </w:p>
    <w:p>
      <w:r>
        <w:rPr>
          <w:b/>
        </w:rPr>
        <w:t>MH Construction, Inc. management is responsible for:</w:t>
      </w:r>
    </w:p>
    <w:p>
      <w:pPr>
        <w:pStyle w:val="ListBullet"/>
      </w:pPr>
      <w:r>
        <w:t>Providing a safe work environment free from recognized electrical hazards.</w:t>
      </w:r>
    </w:p>
    <w:p>
      <w:pPr>
        <w:pStyle w:val="ListBullet"/>
      </w:pPr>
      <w:r>
        <w:t>Ensuring compliance with all applicable OSHA, WISHA, and AGC electrical safety standards.</w:t>
      </w:r>
    </w:p>
    <w:p>
      <w:pPr>
        <w:pStyle w:val="ListBullet"/>
      </w:pPr>
      <w:r>
        <w:t>Providing necessary electrical safety equipment and personal protective equipment (PPE).</w:t>
      </w:r>
    </w:p>
    <w:p>
      <w:pPr>
        <w:pStyle w:val="ListBullet"/>
      </w:pPr>
      <w:r>
        <w:t>Implementing and enforcing this Electrical Safety Program.</w:t>
      </w:r>
    </w:p>
    <w:p>
      <w:pPr>
        <w:pStyle w:val="Heading2"/>
      </w:pPr>
      <w:r>
        <w:t>5.2 Supervisor/Foreman Responsibilities</w:t>
      </w:r>
    </w:p>
    <w:p>
      <w:r>
        <w:rPr>
          <w:b/>
        </w:rPr>
        <w:t>Supervisors and Foremen are responsible for:</w:t>
      </w:r>
    </w:p>
    <w:p>
      <w:pPr>
        <w:pStyle w:val="ListBullet"/>
      </w:pPr>
      <w:r>
        <w:t>Conducting regular site inspections to identify and correct electrical hazards.</w:t>
      </w:r>
    </w:p>
    <w:p>
      <w:pPr>
        <w:pStyle w:val="ListBullet"/>
      </w:pPr>
      <w:r>
        <w:t>Ensuring all employees under their supervision are trained and adhere to electrical safety procedures.</w:t>
      </w:r>
    </w:p>
    <w:p>
      <w:pPr>
        <w:pStyle w:val="ListBullet"/>
      </w:pPr>
      <w:r>
        <w:t>Verifying proper use of lockout/tagout procedures and other energy control measures.</w:t>
      </w:r>
    </w:p>
    <w:p>
      <w:pPr>
        <w:pStyle w:val="ListBullet"/>
      </w:pPr>
      <w:r>
        <w:t>Investigating all electrical incidents and near-misses, and implementing corrective actions.</w:t>
      </w:r>
    </w:p>
    <w:p>
      <w:pPr>
        <w:pStyle w:val="Heading2"/>
      </w:pPr>
      <w:r>
        <w:t>5.3 Employee Responsibilities</w:t>
      </w:r>
    </w:p>
    <w:p>
      <w:r>
        <w:rPr>
          <w:b/>
        </w:rPr>
        <w:t>All employees are responsible for:</w:t>
      </w:r>
    </w:p>
    <w:p>
      <w:pPr>
        <w:pStyle w:val="ListBullet"/>
      </w:pPr>
      <w:r>
        <w:t>Adhering to all electrical safety rules and procedures outlined in this program.</w:t>
      </w:r>
    </w:p>
    <w:p>
      <w:pPr>
        <w:pStyle w:val="ListBullet"/>
      </w:pPr>
      <w:r>
        <w:t>Using appropriate PPE and electrical safety equipment as required.</w:t>
      </w:r>
    </w:p>
    <w:p>
      <w:pPr>
        <w:pStyle w:val="ListBullet"/>
      </w:pPr>
      <w:r>
        <w:t>Reporting any electrical hazards, defective equipment, or unsafe conditions immediately to their supervisor.</w:t>
      </w:r>
    </w:p>
    <w:p>
      <w:pPr>
        <w:pStyle w:val="ListBullet"/>
      </w:pPr>
      <w:r>
        <w:t>Never working on energized electrical equipment unless specifically authorized and trained to do so.</w:t>
      </w:r>
    </w:p>
    <w:p>
      <w:pPr>
        <w:pStyle w:val="Heading2"/>
      </w:pPr>
      <w:r>
        <w:t>5.4 Subcontractor Responsibilities</w:t>
      </w:r>
    </w:p>
    <w:p>
      <w:r>
        <w:rPr>
          <w:b/>
        </w:rPr>
        <w:t>Subcontractors are responsible for:</w:t>
      </w:r>
    </w:p>
    <w:p>
      <w:pPr>
        <w:pStyle w:val="ListBullet"/>
      </w:pPr>
      <w:r>
        <w:t>Complying with all aspects of this Electrical Safety Program and applicable regulatory standards.</w:t>
      </w:r>
    </w:p>
    <w:p>
      <w:pPr>
        <w:pStyle w:val="ListBullet"/>
      </w:pPr>
      <w:r>
        <w:t>Ensuring their employees are properly trained and equipped for electrical work.</w:t>
      </w:r>
    </w:p>
    <w:p>
      <w:pPr>
        <w:pStyle w:val="ListBullet"/>
      </w:pPr>
      <w:r>
        <w:t>Coordinating all electrical work with MH Construction site management.</w:t>
      </w:r>
    </w:p>
    <w:p>
      <w:pPr>
        <w:pStyle w:val="Heading1"/>
      </w:pPr>
      <w:r>
        <w:t>6. PROCEDURES / REQUIREMENTS</w:t>
      </w:r>
    </w:p>
    <w:p>
      <w:pPr>
        <w:pStyle w:val="Heading2"/>
      </w:pPr>
      <w:r>
        <w:t>6.1 General Electrical Safety Requirements</w:t>
      </w:r>
    </w:p>
    <w:p>
      <w:pPr>
        <w:pStyle w:val="ListNumber"/>
      </w:pPr>
      <w:r>
        <w:t>All electrical installations and work practices shall comply with 29 CFR 1926 Subpart K and WAC 296-155-426 through WAC 296-155-447. Only qualified persons shall install, maintain, or repair electrical equipment. (Per 29 CFR 1926.416 General Requirements; WAC 296-155-428 General Requirements)</w:t>
      </w:r>
    </w:p>
    <w:p>
      <w:pPr>
        <w:pStyle w:val="ListNumber"/>
      </w:pPr>
      <w:r>
        <w:t>Ensure all electrical equipment and tools are in good working order, free from defects, and properly grounded or double-insulated. Damaged equipment must be immediately removed from service and tagged out. (Per 29 CFR 1926.416(a)(1); WAC 296-155-428(1))</w:t>
      </w:r>
    </w:p>
    <w:p>
      <w:pPr>
        <w:pStyle w:val="ListNumber"/>
      </w:pPr>
      <w:r>
        <w:t>Avoid working in wet conditions or with wet hands when operating electrical equipment. Use insulated gloves and protective footwear when necessary.</w:t>
      </w:r>
    </w:p>
    <w:p>
      <w:pPr>
        <w:pStyle w:val="ListNumber"/>
      </w:pPr>
      <w:r>
        <w:t>Maintain adequate clear working space around electrical equipment to permit safe operation and maintenance. Do not store materials in electrical pathways or near panels.</w:t>
      </w:r>
    </w:p>
    <w:p>
      <w:pPr>
        <w:pStyle w:val="Heading2"/>
      </w:pPr>
      <w:r>
        <w:t>6.2 Ground-Fault Circuit Interrupters (GFCIs)</w:t>
      </w:r>
    </w:p>
    <w:p>
      <w:pPr>
        <w:pStyle w:val="ListNumber"/>
      </w:pPr>
      <w:r>
        <w:t>All 120-volt, single-phase, 15- and 20-ampere receptacle outlets on construction sites, which are not part of the permanent wiring of the building or structure and which are in use by employees, shall have approved ground-fault circuit interrupters for personnel protection. (Per 29 CFR 1926.404(b)(1)(ii); WAC 296-155-447(5))</w:t>
      </w:r>
    </w:p>
    <w:p>
      <w:pPr>
        <w:pStyle w:val="ListNumber"/>
      </w:pPr>
      <w:r>
        <w:t>GFCIs shall be tested regularly as per manufacturer’s instructions and prior to each use to ensure proper functionality. Records of these tests shall be maintained.</w:t>
      </w:r>
    </w:p>
    <w:p>
      <w:pPr>
        <w:pStyle w:val="Heading2"/>
      </w:pPr>
      <w:r>
        <w:t>6.3 Lockout/Tagout (LOTO) Procedures</w:t>
      </w:r>
    </w:p>
    <w:p>
      <w:pPr>
        <w:pStyle w:val="ListNumber"/>
      </w:pPr>
      <w:r>
        <w:t>All electrical circuits and equipment shall be de-energized and locked out/tagged out before any work is performed on them, unless work on energized equipment is absolutely necessary and performed by qualified personnel under strict safety protocols. (Per 29 CFR 1926.417 Lockout and Tagging; WAC 296-155-429 Lockout and Tagging of Circuits)</w:t>
      </w:r>
    </w:p>
    <w:p>
      <w:pPr>
        <w:pStyle w:val="ListNumber"/>
      </w:pPr>
      <w:r>
        <w:t>A written LOTO procedure shall be developed and utilized for all equipment requiring servicing or maintenance where unexpected energization or startup could occur. This procedure must clearly outline steps for shutdown, isolation, lockout/tagout application, stored energy release, verification of de-energization, and restoration of service.</w:t>
      </w:r>
    </w:p>
    <w:p>
      <w:pPr>
        <w:pStyle w:val="ListNumber"/>
      </w:pPr>
      <w:r>
        <w:t>Each lockout/tagout device shall be standardized within the facility in at least one of the following criteria: Color, shape, or size; and in addition, in the case of tagout devices, print and format shall be standardized. (Per WAC 296-155-429(3)(b))</w:t>
      </w:r>
    </w:p>
    <w:p>
      <w:pPr>
        <w:pStyle w:val="Heading2"/>
      </w:pPr>
      <w:r>
        <w:t>6.4 Overhead Power Lines</w:t>
      </w:r>
    </w:p>
    <w:p>
      <w:pPr>
        <w:pStyle w:val="ListNumber"/>
      </w:pPr>
      <w:r>
        <w:t>Maintain a minimum clearance distance of 10 feet from overhead power lines for all equipment and personnel. If work must be performed closer than 10 feet, the power company must be contacted to de-energize and ground the lines, or insulating barriers must be installed. (Per 29 CFR 1926.416(a)(3); WAC 296-155-428(3))</w:t>
      </w:r>
    </w:p>
    <w:p>
      <w:pPr>
        <w:pStyle w:val="Heading2"/>
      </w:pPr>
      <w:r>
        <w:t>6.5 Temporary Wiring</w:t>
      </w:r>
    </w:p>
    <w:p>
      <w:pPr>
        <w:pStyle w:val="ListNumber"/>
      </w:pPr>
      <w:r>
        <w:t>Temporary electrical wiring shall be installed and maintained in a safe manner, protected from damage, and not run through doorways, windows, or across aisles without proper protection. (Per 29 CFR 1926.400(c)(1); WAC 296-155-444(1))</w:t>
      </w:r>
    </w:p>
    <w:p>
      <w:pPr>
        <w:pStyle w:val="ListNumber"/>
      </w:pPr>
      <w:r>
        <w:t>Extension cords shall be of the three-wire type, designed for hard or extra-hard usage, and equipped with an equipment grounding conductor. Cords shall not be spliced or repaired with tape. (Per 29 CFR 1926.404(b)(1)(iii)(C); WAC 296-155-447(5)(c))</w:t>
      </w:r>
    </w:p>
    <w:p>
      <w:pPr>
        <w:pStyle w:val="Heading2"/>
      </w:pPr>
      <w:r>
        <w:t>6.6 Portable Electric Tools</w:t>
      </w:r>
    </w:p>
    <w:p>
      <w:pPr>
        <w:pStyle w:val="ListNumber"/>
      </w:pPr>
      <w:r>
        <w:t>All portable electric tools shall be either grounded, double-insulated, or powered by a low-voltage isolation transformer. Tools shall be inspected before each use for damage to cords, plugs, and housings. (Per 29 CFR 1926.416(a)(1); WAC 296-155-428(1))</w:t>
      </w:r>
    </w:p>
    <w:p>
      <w:pPr>
        <w:pStyle w:val="Heading1"/>
      </w:pPr>
      <w:r>
        <w:t>7. TRAINING REQUIREMENTS</w:t>
      </w:r>
    </w:p>
    <w:p>
      <w:pPr>
        <w:pStyle w:val="ListNumber"/>
      </w:pPr>
      <w:r>
        <w:t>All employees whose work involves potential exposure to electrical hazards shall receive training to understand the hazards and the necessary precautions. This includes recognizing and avoiding unsafe conditions, understanding lockout/tagout procedures, and proper use of PPE. (Per 29 CFR 1926.21(b)(2); WAC 296-155-100)</w:t>
      </w:r>
    </w:p>
    <w:p>
      <w:pPr>
        <w:pStyle w:val="ListNumber"/>
      </w:pPr>
      <w:r>
        <w:t>Qualified persons performing work on or near energized parts shall be trained in the skills and techniques necessary to distinguish exposed live parts from other parts of electric equipment, to determine the nominal voltage of exposed live parts, and the clearance distances specified in 29 CFR 1926.416(a)(1). (Per 29 CFR 1926.416(a)(1); WAC 296-155-428(1))</w:t>
      </w:r>
    </w:p>
    <w:p>
      <w:pPr>
        <w:pStyle w:val="ListNumber"/>
      </w:pPr>
      <w:r>
        <w:t>Training shall be provided upon initial assignment, when job duties change, or when new equipment or procedures are introduced. Retraining shall be conducted as necessary to ensure proficiency. All training shall be documented and records maintained by the Safety Officer.</w:t>
      </w:r>
    </w:p>
    <w:p>
      <w:pPr>
        <w:pStyle w:val="Heading1"/>
      </w:pPr>
      <w:r>
        <w:t>8. INSPECTION AND ENFORCEMENT</w:t>
      </w:r>
    </w:p>
    <w:p>
      <w:pPr>
        <w:pStyle w:val="ListNumber"/>
      </w:pPr>
      <w:r>
        <w:t>The Safety Officer and Supervisors will conduct regular, unannounced inspections of job sites to ensure compliance with this Electrical Safety Program and all applicable regulations. Inspections will focus on proper grounding, GFCI usage, LOTO adherence, and overall electrical equipment condition.</w:t>
      </w:r>
    </w:p>
    <w:p>
      <w:pPr>
        <w:pStyle w:val="ListNumber"/>
      </w:pPr>
      <w:r>
        <w:t>Any deficiencies identified during inspections will be documented, and corrective actions will be assigned with a clear timeline for completion. Follow-up inspections will verify the effectiveness of corrective measures.</w:t>
      </w:r>
    </w:p>
    <w:p>
      <w:pPr>
        <w:pStyle w:val="ListNumber"/>
      </w:pPr>
      <w:r>
        <w:t>Non-compliance with this program will result in enforcement actions as outlined in the Violation Consequences section.</w:t>
      </w:r>
    </w:p>
    <w:p>
      <w:pPr>
        <w:pStyle w:val="Heading1"/>
      </w:pPr>
      <w:r>
        <w:t>9. RECORDKEEPING</w:t>
      </w:r>
    </w:p>
    <w:p>
      <w:pPr>
        <w:pStyle w:val="ListNumber"/>
      </w:pPr>
      <w:r>
        <w:t>The following records shall be maintained by MH Construction:</w:t>
      </w:r>
    </w:p>
    <w:p>
      <w:pPr>
        <w:pStyle w:val="ListBullet"/>
      </w:pPr>
      <w:r>
        <w:t>Electrical safety training records (5 years)</w:t>
      </w:r>
    </w:p>
    <w:p>
      <w:pPr>
        <w:pStyle w:val="ListBullet"/>
      </w:pPr>
      <w:r>
        <w:t>GFCI test records (1 year)</w:t>
      </w:r>
    </w:p>
    <w:p>
      <w:pPr>
        <w:pStyle w:val="ListBullet"/>
      </w:pPr>
      <w:r>
        <w:t>Lockout/Tagout procedures (duration of equipment use)</w:t>
      </w:r>
    </w:p>
    <w:p>
      <w:pPr>
        <w:pStyle w:val="ListBullet"/>
      </w:pPr>
      <w:r>
        <w:t>Electrical incident investigation reports (5 years)</w:t>
      </w:r>
    </w:p>
    <w:p>
      <w:pPr>
        <w:pStyle w:val="ListBullet"/>
      </w:pPr>
      <w:r>
        <w:t>Site inspection reports (3 years)</w:t>
      </w:r>
    </w:p>
    <w:p>
      <w:pPr>
        <w:pStyle w:val="Heading1"/>
      </w:pPr>
      <w:r>
        <w:t>10. VIOLATION CONSEQUENCES</w:t>
      </w:r>
    </w:p>
    <w:p>
      <w:pPr>
        <w:pStyle w:val="ListNumber"/>
      </w:pPr>
      <w:r>
        <w:t>Violations of this Electrical Safety Program will be subject to progressive disciplinary action, up to and including termination of employment or contract, depending on the severity and frequency of the violation. All incidents will be thoroughly investigated, and appropriate corrective actions will be implemented to prevent recurrence.</w:t>
      </w:r>
    </w:p>
    <w:p>
      <w:pPr>
        <w:pStyle w:val="Heading1"/>
      </w:pPr>
      <w:r>
        <w:t>11. REFERENCES</w:t>
      </w:r>
    </w:p>
    <w:p>
      <w:pPr>
        <w:pStyle w:val="ListBullet"/>
      </w:pPr>
      <w:r>
        <w:t>OSHA: 29 CFR 1926 Subpart K</w:t>
      </w:r>
    </w:p>
    <w:p>
      <w:pPr>
        <w:pStyle w:val="ListBullet"/>
      </w:pPr>
      <w:r>
        <w:t>OSHA: 29 CFR 1926.400 Introduction</w:t>
      </w:r>
    </w:p>
    <w:p>
      <w:pPr>
        <w:pStyle w:val="ListBullet"/>
      </w:pPr>
      <w:r>
        <w:t>OSHA: 29 CFR 1926.404 Wiring Design and Protection GFCI</w:t>
      </w:r>
    </w:p>
    <w:p>
      <w:pPr>
        <w:pStyle w:val="ListBullet"/>
      </w:pPr>
      <w:r>
        <w:t>OSHA: 29 CFR 1926.416 General Requirements</w:t>
      </w:r>
    </w:p>
    <w:p>
      <w:pPr>
        <w:pStyle w:val="ListBullet"/>
      </w:pPr>
      <w:r>
        <w:t>OSHA: 29 CFR 1926.417 Lockout and Tagging</w:t>
      </w:r>
    </w:p>
    <w:p>
      <w:pPr>
        <w:pStyle w:val="ListBullet"/>
      </w:pPr>
      <w:r>
        <w:t>WISHA: WAC 296-155-426 Introduction</w:t>
      </w:r>
    </w:p>
    <w:p>
      <w:pPr>
        <w:pStyle w:val="ListBullet"/>
      </w:pPr>
      <w:r>
        <w:t>WISHA: WAC 296-155-428 General Requirements</w:t>
      </w:r>
    </w:p>
    <w:p>
      <w:pPr>
        <w:pStyle w:val="ListBullet"/>
      </w:pPr>
      <w:r>
        <w:t>WISHA: WAC 296-155-429 Lockout and Tagging of Circuits</w:t>
      </w:r>
    </w:p>
    <w:p>
      <w:pPr>
        <w:pStyle w:val="ListBullet"/>
      </w:pPr>
      <w:r>
        <w:t>WISHA: WAC 296-155-444 General Requirements</w:t>
      </w:r>
    </w:p>
    <w:p>
      <w:pPr>
        <w:pStyle w:val="ListBullet"/>
      </w:pPr>
      <w:r>
        <w:t>WISHA: WAC 296-155-447 Wiring Design and Protection</w:t>
      </w:r>
    </w:p>
    <w:p>
      <w:pPr>
        <w:pStyle w:val="ListBullet"/>
      </w:pPr>
      <w:r>
        <w:t>AGC: Safety and Health Manual Ch. 21 Electrical Safety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F92729D-C3BE-4286-876B-946CFDFA38C2}"/>
</file>

<file path=customXml/itemProps3.xml><?xml version="1.0" encoding="utf-8"?>
<ds:datastoreItem xmlns:ds="http://schemas.openxmlformats.org/officeDocument/2006/customXml" ds:itemID="{0D8D00FE-424E-48BB-ABA5-B687ECE07AFF}"/>
</file>

<file path=customXml/itemProps4.xml><?xml version="1.0" encoding="utf-8"?>
<ds:datastoreItem xmlns:ds="http://schemas.openxmlformats.org/officeDocument/2006/customXml" ds:itemID="{0186C9F9-A8EB-4754-81E3-4527824E91B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