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MH CONSTRUCTION, INC.</w:t>
        <w:br/>
      </w:r>
      <w:r>
        <w:rPr>
          <w:sz w:val="24"/>
        </w:rPr>
        <w:t>Industrial Safety &amp; Health Program (MISH)</w:t>
        <w:br/>
      </w:r>
      <w:r>
        <w:rPr>
          <w:sz w:val="24"/>
        </w:rPr>
        <w:t>MISH 30 | Signs, Signals, and Barricades</w:t>
        <w:br/>
      </w:r>
      <w:r>
        <w:rPr>
          <w:sz w:val="24"/>
        </w:rPr>
        <w:t>Revision N/A | Effective: ** 04/07/2026 | Safety Officer: ** Matt Ramsey | **Revision:** 3 | **Effective:** 04/07/2026</w:t>
      </w:r>
    </w:p>
    <w:p>
      <w:r>
        <w:br/>
      </w:r>
      <w:r>
        <w:t>——————————————————————————————————————————————————————————————————————</w:t>
      </w:r>
      <w:r>
        <w:br/>
      </w:r>
    </w:p>
    <w:p>
      <w:pPr>
        <w:pStyle w:val="Heading1"/>
      </w:pPr>
      <w:r>
        <w:t>Regulatory Authority</w:t>
      </w:r>
    </w:p>
    <w:tbl>
      <w:tblPr>
        <w:tblW w:type="auto" w:w="0"/>
        <w:tblLayout w:type="autofit"/>
        <w:tblLook w:firstColumn="1" w:firstRow="1" w:lastColumn="0" w:lastRow="0" w:noHBand="0" w:noVBand="1" w:val="04A0"/>
      </w:tblPr>
      <w:tblGrid>
        <w:gridCol w:w="1440"/>
        <w:gridCol w:w="2880"/>
        <w:gridCol w:w="4680"/>
      </w:tblGrid>
      <w:tr>
        <w:tc>
          <w:tcPr>
            <w:tcW w:type="dxa" w:w="3000"/>
            <w:vAlign w:val="center"/>
          </w:tcPr>
          <w:p>
            <w:r>
              <w:rPr>
                <w:b/>
              </w:rPr>
              <w:t>Authority</w:t>
            </w:r>
          </w:p>
        </w:tc>
        <w:tc>
          <w:tcPr>
            <w:tcW w:type="dxa" w:w="3000"/>
            <w:vAlign w:val="center"/>
          </w:tcPr>
          <w:p>
            <w:r>
              <w:rPr>
                <w:b/>
              </w:rPr>
              <w:t>Citation</w:t>
            </w:r>
          </w:p>
        </w:tc>
        <w:tc>
          <w:tcPr>
            <w:tcW w:type="dxa" w:w="3000"/>
            <w:vAlign w:val="center"/>
          </w:tcPr>
          <w:p>
            <w:r>
              <w:rPr>
                <w:b/>
              </w:rPr>
              <w:t>Title/Description</w:t>
            </w:r>
          </w:p>
        </w:tc>
      </w:tr>
      <w:tr>
        <w:tc>
          <w:tcPr>
            <w:tcW w:type="dxa" w:w="1440"/>
          </w:tcPr>
          <w:p>
            <w:r>
              <w:t>OSHA</w:t>
            </w:r>
          </w:p>
        </w:tc>
        <w:tc>
          <w:tcPr>
            <w:tcW w:type="dxa" w:w="2880"/>
          </w:tcPr>
          <w:p>
            <w:r>
              <w:t>29 CFR 1926 Subpart G</w:t>
            </w:r>
          </w:p>
        </w:tc>
        <w:tc>
          <w:tcPr>
            <w:tcW w:type="dxa" w:w="4680"/>
          </w:tcPr>
          <w:p>
            <w:r/>
          </w:p>
        </w:tc>
      </w:tr>
      <w:tr>
        <w:tc>
          <w:tcPr>
            <w:tcW w:type="dxa" w:w="1440"/>
          </w:tcPr>
          <w:p>
            <w:r>
              <w:t>OSHA</w:t>
            </w:r>
          </w:p>
        </w:tc>
        <w:tc>
          <w:tcPr>
            <w:tcW w:type="dxa" w:w="2880"/>
          </w:tcPr>
          <w:p>
            <w:r>
              <w:t>29 CFR 1926.200 Accident Prevention Signs and Tags</w:t>
            </w:r>
          </w:p>
        </w:tc>
        <w:tc>
          <w:tcPr>
            <w:tcW w:type="dxa" w:w="4680"/>
          </w:tcPr>
          <w:p>
            <w:r/>
          </w:p>
        </w:tc>
      </w:tr>
      <w:tr>
        <w:tc>
          <w:tcPr>
            <w:tcW w:type="dxa" w:w="1440"/>
          </w:tcPr>
          <w:p>
            <w:r>
              <w:t>OSHA</w:t>
            </w:r>
          </w:p>
        </w:tc>
        <w:tc>
          <w:tcPr>
            <w:tcW w:type="dxa" w:w="2880"/>
          </w:tcPr>
          <w:p>
            <w:r>
              <w:t>29 CFR 1926.201 Signaling</w:t>
            </w:r>
          </w:p>
        </w:tc>
        <w:tc>
          <w:tcPr>
            <w:tcW w:type="dxa" w:w="4680"/>
          </w:tcPr>
          <w:p>
            <w:r/>
          </w:p>
        </w:tc>
      </w:tr>
      <w:tr>
        <w:tc>
          <w:tcPr>
            <w:tcW w:type="dxa" w:w="1440"/>
          </w:tcPr>
          <w:p>
            <w:r>
              <w:t>OSHA</w:t>
            </w:r>
          </w:p>
        </w:tc>
        <w:tc>
          <w:tcPr>
            <w:tcW w:type="dxa" w:w="2880"/>
          </w:tcPr>
          <w:p>
            <w:r>
              <w:t>29 CFR 1926.202 Barricades</w:t>
            </w:r>
          </w:p>
        </w:tc>
        <w:tc>
          <w:tcPr>
            <w:tcW w:type="dxa" w:w="4680"/>
          </w:tcPr>
          <w:p>
            <w:r/>
          </w:p>
        </w:tc>
      </w:tr>
      <w:tr>
        <w:tc>
          <w:tcPr>
            <w:tcW w:type="dxa" w:w="1440"/>
          </w:tcPr>
          <w:p>
            <w:r>
              <w:t>OSHA</w:t>
            </w:r>
          </w:p>
        </w:tc>
        <w:tc>
          <w:tcPr>
            <w:tcW w:type="dxa" w:w="2880"/>
          </w:tcPr>
          <w:p>
            <w:r>
              <w:t>29 CFR 1926.203 Definitions</w:t>
            </w:r>
          </w:p>
        </w:tc>
        <w:tc>
          <w:tcPr>
            <w:tcW w:type="dxa" w:w="4680"/>
          </w:tcPr>
          <w:p>
            <w:r/>
          </w:p>
        </w:tc>
      </w:tr>
      <w:tr>
        <w:tc>
          <w:tcPr>
            <w:tcW w:type="dxa" w:w="1440"/>
          </w:tcPr>
          <w:p>
            <w:r>
              <w:t>WISHA</w:t>
            </w:r>
          </w:p>
        </w:tc>
        <w:tc>
          <w:tcPr>
            <w:tcW w:type="dxa" w:w="2880"/>
          </w:tcPr>
          <w:p>
            <w:r>
              <w:t>WAC 296-155-305 Signaling and Flaggers</w:t>
            </w:r>
          </w:p>
        </w:tc>
        <w:tc>
          <w:tcPr>
            <w:tcW w:type="dxa" w:w="4680"/>
          </w:tcPr>
          <w:p>
            <w:r/>
          </w:p>
        </w:tc>
      </w:tr>
      <w:tr>
        <w:tc>
          <w:tcPr>
            <w:tcW w:type="dxa" w:w="1440"/>
          </w:tcPr>
          <w:p>
            <w:r>
              <w:t>WISHA</w:t>
            </w:r>
          </w:p>
        </w:tc>
        <w:tc>
          <w:tcPr>
            <w:tcW w:type="dxa" w:w="2880"/>
          </w:tcPr>
          <w:p>
            <w:r>
              <w:t>WAC 296-155-310 Barricades</w:t>
            </w:r>
          </w:p>
        </w:tc>
        <w:tc>
          <w:tcPr>
            <w:tcW w:type="dxa" w:w="4680"/>
          </w:tcPr>
          <w:p>
            <w:r/>
          </w:p>
        </w:tc>
      </w:tr>
      <w:tr>
        <w:tc>
          <w:tcPr>
            <w:tcW w:type="dxa" w:w="1440"/>
          </w:tcPr>
          <w:p>
            <w:r>
              <w:t>WISHA</w:t>
            </w:r>
          </w:p>
        </w:tc>
        <w:tc>
          <w:tcPr>
            <w:tcW w:type="dxa" w:w="2880"/>
          </w:tcPr>
          <w:p>
            <w:r>
              <w:t>WAC 296-155-315 Definitions</w:t>
            </w:r>
          </w:p>
        </w:tc>
        <w:tc>
          <w:tcPr>
            <w:tcW w:type="dxa" w:w="4680"/>
          </w:tcPr>
          <w:p>
            <w:r/>
          </w:p>
        </w:tc>
      </w:tr>
      <w:tr>
        <w:tc>
          <w:tcPr>
            <w:tcW w:type="dxa" w:w="1440"/>
          </w:tcPr>
          <w:p>
            <w:r>
              <w:t>AGC</w:t>
            </w:r>
          </w:p>
        </w:tc>
        <w:tc>
          <w:tcPr>
            <w:tcW w:type="dxa" w:w="2880"/>
          </w:tcPr>
          <w:p>
            <w:r>
              <w:t>Safety and Health Manual Ch. 22 Traffic Control</w:t>
            </w:r>
          </w:p>
        </w:tc>
        <w:tc>
          <w:tcPr>
            <w:tcW w:type="dxa" w:w="4680"/>
          </w:tcPr>
          <w:p>
            <w:r/>
          </w:p>
        </w:tc>
      </w:tr>
    </w:tbl>
    <w:p/>
    <w:p>
      <w:pPr>
        <w:pStyle w:val="Heading1"/>
      </w:pPr>
      <w:r>
        <w:t>Purpose</w:t>
      </w:r>
    </w:p>
    <w:p>
      <w:r>
        <w:t>This policy establishes guidelines for the proper use of signs, signals, and barricades to prevent accidents and ensure the safety of all personnel on MH Construction job sites. It aims to protect employees, subcontractors, and the public from hazards associated with construction activities, particularly those involving traffic and restricted areas.</w:t>
      </w:r>
    </w:p>
    <w:p>
      <w:pPr>
        <w:pStyle w:val="Heading1"/>
      </w:pPr>
      <w:r>
        <w:t>Scope</w:t>
      </w:r>
    </w:p>
    <w:p>
      <w:r>
        <w:t>This policy applies to all MH Construction, Inc. employees, subcontractors, and visitors present on MH Construction job sites. Adherence to these guidelines is mandatory to maintain a safe working environment.</w:t>
      </w:r>
    </w:p>
    <w:p>
      <w:pPr>
        <w:pStyle w:val="Heading1"/>
      </w:pPr>
      <w:r>
        <w:t>Definitions</w:t>
      </w:r>
    </w:p>
    <w:tbl>
      <w:tblPr>
        <w:tblW w:type="auto" w:w="0"/>
        <w:tblLayout w:type="autofit"/>
        <w:tblLook w:firstColumn="1" w:firstRow="1" w:lastColumn="0" w:lastRow="0" w:noHBand="0" w:noVBand="1" w:val="04A0"/>
      </w:tblPr>
      <w:tblGrid>
        <w:gridCol w:w="2160"/>
        <w:gridCol w:w="6840"/>
      </w:tblGrid>
      <w:tr>
        <w:tc>
          <w:tcPr>
            <w:tcW w:type="dxa" w:w="4500"/>
            <w:vAlign w:val="center"/>
          </w:tcPr>
          <w:p>
            <w:r>
              <w:rPr>
                <w:b/>
              </w:rPr>
              <w:t>Term</w:t>
            </w:r>
          </w:p>
        </w:tc>
        <w:tc>
          <w:tcPr>
            <w:tcW w:type="dxa" w:w="4500"/>
            <w:vAlign w:val="center"/>
          </w:tcPr>
          <w:p>
            <w:r>
              <w:rPr>
                <w:b/>
              </w:rPr>
              <w:t>Definition</w:t>
            </w:r>
          </w:p>
        </w:tc>
      </w:tr>
      <w:tr>
        <w:tc>
          <w:tcPr>
            <w:tcW w:type="dxa" w:w="2160"/>
          </w:tcPr>
          <w:p>
            <w:r>
              <w:t>Barricade</w:t>
            </w:r>
          </w:p>
        </w:tc>
        <w:tc>
          <w:tcPr>
            <w:tcW w:type="dxa" w:w="6840"/>
          </w:tcPr>
          <w:p>
            <w:r>
              <w:t>An obstruction to deter the passage of persons or vehicles.</w:t>
            </w:r>
          </w:p>
        </w:tc>
      </w:tr>
      <w:tr>
        <w:tc>
          <w:tcPr>
            <w:tcW w:type="dxa" w:w="2160"/>
          </w:tcPr>
          <w:p>
            <w:r>
              <w:t>Sign</w:t>
            </w:r>
          </w:p>
        </w:tc>
        <w:tc>
          <w:tcPr>
            <w:tcW w:type="dxa" w:w="6840"/>
          </w:tcPr>
          <w:p>
            <w:r>
              <w:t>A warning of a hazard, temporarily or permanently affixed or mounted.</w:t>
            </w:r>
          </w:p>
        </w:tc>
      </w:tr>
      <w:tr>
        <w:tc>
          <w:tcPr>
            <w:tcW w:type="dxa" w:w="2160"/>
          </w:tcPr>
          <w:p>
            <w:r>
              <w:t>Signal</w:t>
            </w:r>
          </w:p>
        </w:tc>
        <w:tc>
          <w:tcPr>
            <w:tcW w:type="dxa" w:w="6840"/>
          </w:tcPr>
          <w:p>
            <w:r>
              <w:t>A message transmitted by hand, flag, or audible device.</w:t>
            </w:r>
          </w:p>
        </w:tc>
      </w:tr>
      <w:tr>
        <w:tc>
          <w:tcPr>
            <w:tcW w:type="dxa" w:w="2160"/>
          </w:tcPr>
          <w:p>
            <w:r>
              <w:t>Flagger</w:t>
            </w:r>
          </w:p>
        </w:tc>
        <w:tc>
          <w:tcPr>
            <w:tcW w:type="dxa" w:w="6840"/>
          </w:tcPr>
          <w:p>
            <w:r>
              <w:t>A person who controls traffic with a flag or other signaling device.</w:t>
            </w:r>
          </w:p>
        </w:tc>
      </w:tr>
      <w:tr>
        <w:tc>
          <w:tcPr>
            <w:tcW w:type="dxa" w:w="2160"/>
          </w:tcPr>
          <w:p>
            <w:r>
              <w:t>Traffic Control Zone</w:t>
            </w:r>
          </w:p>
        </w:tc>
        <w:tc>
          <w:tcPr>
            <w:tcW w:type="dxa" w:w="6840"/>
          </w:tcPr>
          <w:p>
            <w:r>
              <w:t>The area of a roadway where traffic control measures are in effect.</w:t>
            </w:r>
          </w:p>
        </w:tc>
      </w:tr>
    </w:tbl>
    <w:p/>
    <w:p>
      <w:pPr>
        <w:pStyle w:val="Heading1"/>
      </w:pPr>
      <w:r>
        <w:t>Responsibilities</w:t>
      </w:r>
    </w:p>
    <w:p>
      <w:pPr>
        <w:pStyle w:val="Heading2"/>
      </w:pPr>
      <w:r>
        <w:t>Company/Management Responsibilities</w:t>
      </w:r>
    </w:p>
    <w:p>
      <w:pPr>
        <w:pStyle w:val="ListBullet"/>
      </w:pPr>
      <w:r>
        <w:t>Provide necessary signs, signals, and barricades.</w:t>
      </w:r>
    </w:p>
    <w:p>
      <w:pPr>
        <w:pStyle w:val="ListBullet"/>
      </w:pPr>
      <w:r>
        <w:t>Ensure compliance with all applicable regulations.</w:t>
      </w:r>
    </w:p>
    <w:p>
      <w:pPr>
        <w:pStyle w:val="ListBullet"/>
      </w:pPr>
      <w:r>
        <w:t>Conduct regular site safety audits.</w:t>
      </w:r>
    </w:p>
    <w:p>
      <w:pPr>
        <w:pStyle w:val="Heading2"/>
      </w:pPr>
      <w:r>
        <w:t>Supervisor/Foreman Responsibilities</w:t>
      </w:r>
    </w:p>
    <w:p>
      <w:pPr>
        <w:pStyle w:val="ListBullet"/>
      </w:pPr>
      <w:r>
        <w:t>Implement and enforce this policy on job sites.</w:t>
      </w:r>
    </w:p>
    <w:p>
      <w:pPr>
        <w:pStyle w:val="ListBullet"/>
      </w:pPr>
      <w:r>
        <w:t>Ensure proper placement and maintenance of safety devices.</w:t>
      </w:r>
    </w:p>
    <w:p>
      <w:pPr>
        <w:pStyle w:val="ListBullet"/>
      </w:pPr>
      <w:r>
        <w:t>Train employees on signaling procedures and barricade use.</w:t>
      </w:r>
    </w:p>
    <w:p>
      <w:pPr>
        <w:pStyle w:val="Heading2"/>
      </w:pPr>
      <w:r>
        <w:t>Employee Responsibilities</w:t>
      </w:r>
    </w:p>
    <w:p>
      <w:pPr>
        <w:pStyle w:val="ListBullet"/>
      </w:pPr>
      <w:r>
        <w:t>Adhere to all signs, signals, and barricades.</w:t>
      </w:r>
    </w:p>
    <w:p>
      <w:pPr>
        <w:pStyle w:val="ListBullet"/>
      </w:pPr>
      <w:r>
        <w:t>Report damaged or missing safety devices.</w:t>
      </w:r>
    </w:p>
    <w:p>
      <w:pPr>
        <w:pStyle w:val="ListBullet"/>
      </w:pPr>
      <w:r>
        <w:t>Participate in required training.</w:t>
      </w:r>
    </w:p>
    <w:p>
      <w:pPr>
        <w:pStyle w:val="Heading2"/>
      </w:pPr>
      <w:r>
        <w:t>Subcontractor Responsibilities</w:t>
      </w:r>
    </w:p>
    <w:p>
      <w:pPr>
        <w:pStyle w:val="ListBullet"/>
      </w:pPr>
      <w:r>
        <w:t>Comply with MH Construction's safety policies and all regulatory requirements.</w:t>
      </w:r>
    </w:p>
    <w:p>
      <w:pPr>
        <w:pStyle w:val="ListBullet"/>
      </w:pPr>
      <w:r>
        <w:t>Provide their own appropriate safety devices as required by their scope of work.</w:t>
      </w:r>
    </w:p>
    <w:p>
      <w:pPr>
        <w:pStyle w:val="Heading1"/>
      </w:pPr>
      <w:r>
        <w:t>Procedures / Requirements</w:t>
      </w:r>
    </w:p>
    <w:p>
      <w:pPr>
        <w:pStyle w:val="ListNumber"/>
      </w:pPr>
      <w:r>
        <w:t>All signs shall be furnished and displayed where hazards exist. Signs shall be visible and legible at all times. Per 29 CFR 1926.200(b), signs shall be of standard colors and sizes as specified in ANSI Z53.1-1967.</w:t>
      </w:r>
    </w:p>
    <w:p>
      <w:pPr>
        <w:pStyle w:val="ListNumber"/>
      </w:pPr>
      <w:r>
        <w:t>Danger signs shall be used only where an immediate hazard exists. They shall have a red oval background with the word 'DANGER' in white letters, and a white background for the message. (29 CFR 1926.200(c)).</w:t>
      </w:r>
    </w:p>
    <w:p>
      <w:pPr>
        <w:pStyle w:val="ListNumber"/>
      </w:pPr>
      <w:r>
        <w:t>Caution signs shall be used only to warn against potential hazards or to caution against unsafe practices. They shall have a yellow background with the word 'CAUTION' in black letters, and a yellow background for the message. (29 CFR 1926.200(d)).</w:t>
      </w:r>
    </w:p>
    <w:p>
      <w:pPr>
        <w:pStyle w:val="ListNumber"/>
      </w:pPr>
      <w:r>
        <w:t>Exit signs, when required, shall be lettered in legible red letters, not less than 6 inches high, on a white field, and the principal strokes of the letters shall be at least three-fourths inch wide. (29 CFR 1926.200(e)).</w:t>
      </w:r>
    </w:p>
    <w:p>
      <w:pPr>
        <w:pStyle w:val="ListNumber"/>
      </w:pPr>
      <w:r>
        <w:t>Accident prevention tags shall be used as a temporary means of warning employees of an existing hazard, such as defective tools, equipment, etc. Tags shall be attached to the hazard by a string, wire, or adhesive. (29 CFR 1926.200(g)).</w:t>
      </w:r>
    </w:p>
    <w:p>
      <w:pPr>
        <w:pStyle w:val="ListNumber"/>
      </w:pPr>
      <w:r>
        <w:t>Signaling shall be conducted by a designated person when equipment is operating in areas where employees are exposed to the hazards of moving equipment. Hand signals shall be standardized and understood by all operators and signal persons. Per WAC 296-155-305, flaggers must wear high-visibility apparel.</w:t>
      </w:r>
    </w:p>
    <w:p>
      <w:pPr>
        <w:pStyle w:val="ListNumber"/>
      </w:pPr>
      <w:r>
        <w:t>Barricades shall be erected to guard excavations, open pits, and other hazardous areas. They shall be visible and capable of withstanding anticipated forces. Per 29 CFR 1926.202, barricades shall conform to the requirements of ANSI D6.1-1971.</w:t>
      </w:r>
    </w:p>
    <w:p>
      <w:pPr>
        <w:pStyle w:val="ListNumber"/>
      </w:pPr>
      <w:r>
        <w:t>Traffic control plans shall be developed and implemented for all projects impacting public roadways. This includes proper signage, flagging, and barricading as per AGC Safety and Health Manual Ch. 22 Traffic Control and WAC 296-155-305.</w:t>
      </w:r>
    </w:p>
    <w:p>
      <w:pPr>
        <w:pStyle w:val="ListNumber"/>
      </w:pPr>
      <w:r>
        <w:t xml:space="preserve">All signs, signals, and barricades shall be adequately illuminated during hours of darkness or poor visibility to ensure their effectiveness. (29 CFR 1926 Subpart G). </w:t>
      </w:r>
    </w:p>
    <w:p>
      <w:pPr>
        <w:pStyle w:val="ListNumber"/>
      </w:pPr>
      <w:r>
        <w:t xml:space="preserve">Signs, signals, and barricades shall be inspected regularly and maintained in good condition. Damaged or defaced devices shall be immediately repaired or replaced. (WAC 296-155-310). </w:t>
      </w:r>
    </w:p>
    <w:p>
      <w:pPr>
        <w:pStyle w:val="Heading1"/>
      </w:pPr>
      <w:r>
        <w:t>Training Requirements</w:t>
      </w:r>
    </w:p>
    <w:p>
      <w:r>
        <w:t>All employees whose work involves exposure to traffic or requires the use of signs, signals, or barricades shall receive training on this policy and relevant regulatory requirements. Training shall cover proper signaling techniques, placement of barricades, and recognition of different sign types. Training frequency shall be as needed, and documentation of training shall be maintained by the Safety Officer. Applicable OSHA training mandates include general safety awareness (29 CFR 1926.21) and specific training for flaggers (WAC 296-155-305).</w:t>
      </w:r>
    </w:p>
    <w:p>
      <w:pPr>
        <w:pStyle w:val="Heading1"/>
      </w:pPr>
      <w:r>
        <w:t>Inspection and Enforcement</w:t>
      </w:r>
    </w:p>
    <w:p>
      <w:r>
        <w:t>Compliance with this policy will be monitored through regular site inspections conducted by supervisors, foremen, and the Safety Officer. Inspections will verify the correct placement, condition, and use of signs, signals, and barricades. Any deficiencies identified will result in immediate corrective action. Non-compliance will be addressed according to the company's progressive discipline policy.</w:t>
      </w:r>
    </w:p>
    <w:p>
      <w:pPr>
        <w:pStyle w:val="Heading1"/>
      </w:pPr>
      <w:r>
        <w:t>Recordkeeping</w:t>
      </w:r>
    </w:p>
    <w:p>
      <w:r>
        <w:t>Records of training, site inspections, and corrective actions related to signs, signals, and barricades shall be maintained for a minimum of three years. The Safety Officer is responsible for the retention and accessibility of these records.</w:t>
      </w:r>
    </w:p>
    <w:p>
      <w:pPr>
        <w:pStyle w:val="Heading1"/>
      </w:pPr>
      <w:r>
        <w:t>Violation Consequences</w:t>
      </w:r>
    </w:p>
    <w:p>
      <w:r>
        <w:t>Violations of this policy will result in disciplinary action, up to and including termination of employment or contract, depending on the severity and frequency of the violation. MH Construction is committed to maintaining a safe workplace, and strict adherence to safety policies is paramount.</w:t>
      </w:r>
    </w:p>
    <w:p>
      <w:pPr>
        <w:pStyle w:val="Heading1"/>
      </w:pPr>
      <w:r>
        <w:t>References</w:t>
      </w:r>
    </w:p>
    <w:p>
      <w:pPr>
        <w:pStyle w:val="ListBullet"/>
      </w:pPr>
      <w:r>
        <w:t>OSHA: 29 CFR 1926 Subpart G</w:t>
      </w:r>
    </w:p>
    <w:p>
      <w:pPr>
        <w:pStyle w:val="ListBullet"/>
      </w:pPr>
      <w:r>
        <w:t>OSHA: 29 CFR 1926.200 Accident Prevention Signs and Tags</w:t>
      </w:r>
    </w:p>
    <w:p>
      <w:pPr>
        <w:pStyle w:val="ListBullet"/>
      </w:pPr>
      <w:r>
        <w:t>OSHA: 29 CFR 1926.201 Signaling</w:t>
      </w:r>
    </w:p>
    <w:p>
      <w:pPr>
        <w:pStyle w:val="ListBullet"/>
      </w:pPr>
      <w:r>
        <w:t>OSHA: 29 CFR 1926.202 Barricades</w:t>
      </w:r>
    </w:p>
    <w:p>
      <w:pPr>
        <w:pStyle w:val="ListBullet"/>
      </w:pPr>
      <w:r>
        <w:t>OSHA: 29 CFR 1926.203 Definitions</w:t>
      </w:r>
    </w:p>
    <w:p>
      <w:pPr>
        <w:pStyle w:val="ListBullet"/>
      </w:pPr>
      <w:r>
        <w:t>WISHA: WAC 296-155-305 Signaling and Flaggers</w:t>
      </w:r>
    </w:p>
    <w:p>
      <w:pPr>
        <w:pStyle w:val="ListBullet"/>
      </w:pPr>
      <w:r>
        <w:t>WISHA: WAC 296-155-310 Barricades</w:t>
      </w:r>
    </w:p>
    <w:p>
      <w:pPr>
        <w:pStyle w:val="ListBullet"/>
      </w:pPr>
      <w:r>
        <w:t>WISHA: WAC 296-155-315 Definitions</w:t>
      </w:r>
    </w:p>
    <w:p>
      <w:pPr>
        <w:pStyle w:val="ListBullet"/>
      </w:pPr>
      <w:r>
        <w:t>AGC: Safety and Health Manual Ch. 22 Traffic Control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7C188F-3BAC-4C19-A657-2F1FE7F42603}"/>
</file>

<file path=customXml/itemProps3.xml><?xml version="1.0" encoding="utf-8"?>
<ds:datastoreItem xmlns:ds="http://schemas.openxmlformats.org/officeDocument/2006/customXml" ds:itemID="{E274C5D3-BAEB-45F0-9BD0-34D1DEF67476}"/>
</file>

<file path=customXml/itemProps4.xml><?xml version="1.0" encoding="utf-8"?>
<ds:datastoreItem xmlns:ds="http://schemas.openxmlformats.org/officeDocument/2006/customXml" ds:itemID="{21C6C015-BDFC-4F87-8A07-A2426E9A22F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