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t>38 | Commercial Drivers Drug and Prevention Program</w:t>
      </w:r>
    </w:p>
    <w:p>
      <w:r>
        <w:t>Revision 3 | Effective: 04/07/2026 | Safety Officer: Matt Ramsey</w:t>
      </w:r>
    </w:p>
    <w:p>
      <w:r>
        <w:t>――――――――――――――――――――――――――――――――――――――――――――――――――</w:t>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49 CFR Part 382</w:t>
            </w:r>
          </w:p>
        </w:tc>
        <w:tc>
          <w:tcPr>
            <w:tcW w:type="dxa" w:w="3000"/>
          </w:tcPr>
          <w:p>
            <w:r>
              <w:t>FMCSA Controlled Substances and Alcohol Use and Testing</w:t>
            </w:r>
          </w:p>
        </w:tc>
      </w:tr>
      <w:tr>
        <w:tc>
          <w:tcPr>
            <w:tcW w:type="dxa" w:w="3000"/>
          </w:tcPr>
          <w:p>
            <w:r>
              <w:t>OSHA</w:t>
            </w:r>
          </w:p>
        </w:tc>
        <w:tc>
          <w:tcPr>
            <w:tcW w:type="dxa" w:w="3000"/>
          </w:tcPr>
          <w:p>
            <w:r>
              <w:t>49 CFR Part 40</w:t>
            </w:r>
          </w:p>
        </w:tc>
        <w:tc>
          <w:tcPr>
            <w:tcW w:type="dxa" w:w="3000"/>
          </w:tcPr>
          <w:p>
            <w:r>
              <w:t>DOT Drug and Alcohol Testing Procedures</w:t>
            </w:r>
          </w:p>
        </w:tc>
      </w:tr>
      <w:tr>
        <w:tc>
          <w:tcPr>
            <w:tcW w:type="dxa" w:w="3000"/>
          </w:tcPr>
          <w:p>
            <w:r>
              <w:t>OSHA</w:t>
            </w:r>
          </w:p>
        </w:tc>
        <w:tc>
          <w:tcPr>
            <w:tcW w:type="dxa" w:w="3000"/>
          </w:tcPr>
          <w:p>
            <w:r>
              <w:t>49 CFR Part 391</w:t>
            </w:r>
          </w:p>
        </w:tc>
        <w:tc>
          <w:tcPr>
            <w:tcW w:type="dxa" w:w="3000"/>
          </w:tcPr>
          <w:p>
            <w:r>
              <w:t>Qualifications of Drivers</w:t>
            </w:r>
          </w:p>
        </w:tc>
      </w:tr>
      <w:tr>
        <w:tc>
          <w:tcPr>
            <w:tcW w:type="dxa" w:w="3000"/>
          </w:tcPr>
          <w:p>
            <w:r>
              <w:t>WISHA</w:t>
            </w:r>
          </w:p>
        </w:tc>
        <w:tc>
          <w:tcPr>
            <w:tcW w:type="dxa" w:w="3000"/>
          </w:tcPr>
          <w:p>
            <w:r>
              <w:t>WAC 296-155-110</w:t>
            </w:r>
          </w:p>
        </w:tc>
        <w:tc>
          <w:tcPr>
            <w:tcW w:type="dxa" w:w="3000"/>
          </w:tcPr>
          <w:p>
            <w:r>
              <w:t>Accident Prevention Program</w:t>
            </w:r>
          </w:p>
        </w:tc>
      </w:tr>
      <w:tr>
        <w:tc>
          <w:tcPr>
            <w:tcW w:type="dxa" w:w="3000"/>
          </w:tcPr>
          <w:p>
            <w:r>
              <w:t>WISHA</w:t>
            </w:r>
          </w:p>
        </w:tc>
        <w:tc>
          <w:tcPr>
            <w:tcW w:type="dxa" w:w="3000"/>
          </w:tcPr>
          <w:p>
            <w:r>
              <w:t>RCW 46.25</w:t>
            </w:r>
          </w:p>
        </w:tc>
        <w:tc>
          <w:tcPr>
            <w:tcW w:type="dxa" w:w="3000"/>
          </w:tcPr>
          <w:p>
            <w:r>
              <w:t>Commercial Driver's License</w:t>
            </w:r>
          </w:p>
        </w:tc>
      </w:tr>
      <w:tr>
        <w:tc>
          <w:tcPr>
            <w:tcW w:type="dxa" w:w="3000"/>
          </w:tcPr>
          <w:p>
            <w:r>
              <w:t>AGC</w:t>
            </w:r>
          </w:p>
        </w:tc>
        <w:tc>
          <w:tcPr>
            <w:tcW w:type="dxa" w:w="3000"/>
          </w:tcPr>
          <w:p>
            <w:r>
              <w:t>Safety and Health Manual Ch. 2 Drug and Alcohol Programs</w:t>
            </w:r>
          </w:p>
        </w:tc>
        <w:tc>
          <w:tcPr>
            <w:tcW w:type="dxa" w:w="3000"/>
          </w:tcPr>
          <w:p>
            <w:r/>
          </w:p>
        </w:tc>
      </w:tr>
      <w:tr>
        <w:tc>
          <w:tcPr>
            <w:tcW w:type="dxa" w:w="3000"/>
          </w:tcPr>
          <w:p>
            <w:r>
              <w:t>AGC</w:t>
            </w:r>
          </w:p>
        </w:tc>
        <w:tc>
          <w:tcPr>
            <w:tcW w:type="dxa" w:w="3000"/>
          </w:tcPr>
          <w:p>
            <w:r>
              <w:t>FMCSA Employer Handbook</w:t>
            </w:r>
          </w:p>
        </w:tc>
        <w:tc>
          <w:tcPr>
            <w:tcW w:type="dxa" w:w="3000"/>
          </w:tcPr>
          <w:p>
            <w:r/>
          </w:p>
        </w:tc>
      </w:tr>
    </w:tbl>
    <w:p>
      <w:pPr>
        <w:pStyle w:val="Heading1"/>
      </w:pPr>
      <w:r>
        <w:t>Purpose</w:t>
      </w:r>
    </w:p>
    <w:p>
      <w:r>
        <w:t>This policy establishes guidelines for the Commercial Drivers Drug and Alcohol Prevention Program. It ensures compliance with federal and state regulations, safeguarding the well-being of employees and the public by preventing substance abuse among commercial drivers.</w:t>
      </w:r>
    </w:p>
    <w:p>
      <w:pPr>
        <w:pStyle w:val="Heading1"/>
      </w:pPr>
      <w:r>
        <w:t>Scope</w:t>
      </w:r>
    </w:p>
    <w:p>
      <w:r>
        <w:t>This program applies to all MH Construction, Inc. employees who operate commercial motor vehicles (CMVs) requiring a Commercial Driver"s License (CDL), as well as any subcontractors or visitors on MHC job sites who fall under the purview of DOT drug and alcohol testing regulations.</w:t>
      </w:r>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Commercial Motor Vehicle (CMV)</w:t>
            </w:r>
          </w:p>
        </w:tc>
        <w:tc>
          <w:tcPr>
            <w:tcW w:type="dxa" w:w="4500"/>
          </w:tcPr>
          <w:p>
            <w:r>
              <w:t>A motor vehicle or combination of motor vehicles used in commerce to transport passengers or property if the vehicle has a gross combination weight rating or gross vehicle weight rating of 26,001 or more pounds, whichever is greater, or is designed to transport 16 or more passengers, including the driver, or is of any size and is used to transport hazardous materials.</w:t>
            </w:r>
          </w:p>
        </w:tc>
      </w:tr>
      <w:tr>
        <w:tc>
          <w:tcPr>
            <w:tcW w:type="dxa" w:w="4500"/>
          </w:tcPr>
          <w:p>
            <w:r>
              <w:t>Commercial Driver"s License (CDL)</w:t>
            </w:r>
          </w:p>
        </w:tc>
        <w:tc>
          <w:tcPr>
            <w:tcW w:type="dxa" w:w="4500"/>
          </w:tcPr>
          <w:p>
            <w:r>
              <w:t>A driver"s license required to operate large or heavy vehicles in commerce.</w:t>
            </w:r>
          </w:p>
        </w:tc>
      </w:tr>
      <w:tr>
        <w:tc>
          <w:tcPr>
            <w:tcW w:type="dxa" w:w="4500"/>
          </w:tcPr>
          <w:p>
            <w:r>
              <w:t>Designated Employer Representative (DER)</w:t>
            </w:r>
          </w:p>
        </w:tc>
        <w:tc>
          <w:tcPr>
            <w:tcW w:type="dxa" w:w="4500"/>
          </w:tcPr>
          <w:p>
            <w:r>
              <w:t>An employee authorized by the employer to take immediate action to remove employees from safety-sensitive duties, or cause employees to be removed from safety-sensitive duties, and to make required decisions in the testing process.</w:t>
            </w:r>
          </w:p>
        </w:tc>
      </w:tr>
      <w:tr>
        <w:tc>
          <w:tcPr>
            <w:tcW w:type="dxa" w:w="4500"/>
          </w:tcPr>
          <w:p>
            <w:r>
              <w:t>Safety-Sensitive Function</w:t>
            </w:r>
          </w:p>
        </w:tc>
        <w:tc>
          <w:tcPr>
            <w:tcW w:type="dxa" w:w="4500"/>
          </w:tcPr>
          <w:p>
            <w:r>
              <w:t>All time from the time a driver begins to work or is required to be in readiness to work until the time he/she is relieved from work and all responsibility for performing work.</w:t>
            </w:r>
          </w:p>
        </w:tc>
      </w:tr>
      <w:tr>
        <w:tc>
          <w:tcPr>
            <w:tcW w:type="dxa" w:w="4500"/>
          </w:tcPr>
          <w:p>
            <w:r>
              <w:t>Substance Abuse Professional (SAP)</w:t>
            </w:r>
          </w:p>
        </w:tc>
        <w:tc>
          <w:tcPr>
            <w:tcW w:type="dxa" w:w="4500"/>
          </w:tcPr>
          <w:p>
            <w:r>
              <w:t>A person who evaluates employees who have violated a DOT drug and alcohol program regulation and makes recommendations concerning education, treatment, follow-up testing, and aftercare.</w:t>
            </w:r>
          </w:p>
        </w:tc>
      </w:tr>
    </w:tbl>
    <w:p>
      <w:pPr>
        <w:pStyle w:val="Heading1"/>
      </w:pPr>
      <w:r>
        <w:t>Responsibilities</w:t>
      </w:r>
    </w:p>
    <w:p>
      <w:pPr>
        <w:pStyle w:val="Heading2"/>
      </w:pPr>
      <w:r>
        <w:t>Company/Management Responsibilities</w:t>
      </w:r>
    </w:p>
    <w:p>
      <w:r>
        <w:t>• Establish and maintain a comprehensive drug and alcohol testing program in compliance with 49 CFR Part 382 and 49 CFR Part 40.</w:t>
        <w:br/>
        <w:t>• Designate a qualified Designated Employer Representative (DER) to oversee the program.</w:t>
        <w:br/>
        <w:t>• Ensure all employees performing safety-sensitive functions are informed of the program"s policies and procedures.</w:t>
      </w:r>
    </w:p>
    <w:p>
      <w:pPr>
        <w:pStyle w:val="Heading2"/>
      </w:pPr>
      <w:r>
        <w:t>Supervisor/Foreman Responsibilities</w:t>
      </w:r>
    </w:p>
    <w:p>
      <w:r>
        <w:t>• Recognize and document signs and symptoms of drug and alcohol use that may indicate a need for reasonable suspicion testing.</w:t>
        <w:br/>
        <w:t>• Ensure employees under their supervision comply with all aspects of the drug and alcohol program.</w:t>
        <w:br/>
        <w:t>• Refer employees for testing as required by company policy and federal regulations.</w:t>
      </w:r>
    </w:p>
    <w:p>
      <w:pPr>
        <w:pStyle w:val="Heading2"/>
      </w:pPr>
      <w:r>
        <w:t>Employee Responsibilities</w:t>
      </w:r>
    </w:p>
    <w:p>
      <w:r>
        <w:t>• Comply with all drug and alcohol testing requirements, including pre-employment, random, post-accident, reasonable suspicion, and return-to-duty tests.</w:t>
        <w:br/>
        <w:t>• Refrain from using alcohol or controlled substances while performing safety-sensitive functions or within the prohibited timeframes.</w:t>
        <w:br/>
        <w:t>• Report any prescription medication use that may impair their ability to safely operate a CMV.</w:t>
      </w:r>
    </w:p>
    <w:p>
      <w:pPr>
        <w:pStyle w:val="Heading2"/>
      </w:pPr>
      <w:r>
        <w:t>Subcontractor Responsibilities</w:t>
      </w:r>
    </w:p>
    <w:p>
      <w:r>
        <w:t>• Ensure their employees operating CMVs on MHC job sites comply with all applicable DOT drug and alcohol testing regulations.</w:t>
        <w:br/>
        <w:t>• Provide proof of compliance with drug and alcohol testing programs upon request by MH Construction, Inc.</w:t>
      </w:r>
    </w:p>
    <w:p>
      <w:pPr>
        <w:pStyle w:val="Heading1"/>
      </w:pPr>
      <w:r>
        <w:t>Procedures / Requirements</w:t>
      </w:r>
    </w:p>
    <w:p>
      <w:pPr>
        <w:pStyle w:val="Heading2"/>
      </w:pPr>
      <w:r>
        <w:t>7.1 Pre-Employment Testing</w:t>
      </w:r>
    </w:p>
    <w:p>
      <w:r>
        <w:t>All prospective employees who will perform safety-sensitive functions must pass a DOT pre-employment drug test before beginning employment. This is a mandatory requirement per 49 CFR Part 382, Subpart C.</w:t>
      </w:r>
    </w:p>
    <w:p>
      <w:pPr>
        <w:pStyle w:val="Heading2"/>
      </w:pPr>
      <w:r>
        <w:t>7.2 Random Testing</w:t>
      </w:r>
    </w:p>
    <w:p>
      <w:r>
        <w:t>Employees performing safety-sensitive functions are subject to unannounced random drug and alcohol testing. The selection process is scientifically random and ensures each employee has an equal chance of being selected, as outlined in 49 CFR Part 382, Subpart C. The annual minimum random testing rates are established by the FMCSA.</w:t>
      </w:r>
    </w:p>
    <w:p>
      <w:pPr>
        <w:pStyle w:val="Heading2"/>
      </w:pPr>
      <w:r>
        <w:t>7.3 Post-Accident Testing</w:t>
      </w:r>
    </w:p>
    <w:p>
      <w:r>
        <w:t>Following an accident involving a CMV, drug and alcohol testing will be conducted if the accident involves a fatality, or if the driver receives a citation for a moving violation and the accident involves bodily injury with immediate medical treatment away from the scene or disabling damage to a vehicle. This is in accordance with 49 CFR Part 382, Subpart C.</w:t>
      </w:r>
    </w:p>
    <w:p>
      <w:pPr>
        <w:pStyle w:val="Heading2"/>
      </w:pPr>
      <w:r>
        <w:t>7.4 Reasonable Suspicion Testing</w:t>
      </w:r>
    </w:p>
    <w:p>
      <w:r>
        <w:t>Employees will be subject to drug and alcohol testing when a trained supervisor or company official observes specific, contemporaneous, articulable observations concerning the appearance, behavior, speech, or body odors of the employee. These observations must be documented as per 49 CFR Part 382, Subpart C.</w:t>
      </w:r>
    </w:p>
    <w:p>
      <w:pPr>
        <w:pStyle w:val="Heading2"/>
      </w:pPr>
      <w:r>
        <w:t>7.5 Return-to-Duty and Follow-Up Testing</w:t>
      </w:r>
    </w:p>
    <w:p>
      <w:r>
        <w:t>Any employee who has violated a DOT drug and alcohol regulation must successfully complete the return-to-duty process, including evaluation by a Substance Abuse Professional (SAP) and a negative return-to-duty test, before resuming safety-sensitive functions. They will then be subject to unannounced follow-up testing for a period of 12 to 60 months, as prescribed by the SAP, per 49 CFR Part 382, Subpart D.</w:t>
      </w:r>
    </w:p>
    <w:p>
      <w:pPr>
        <w:pStyle w:val="Heading2"/>
      </w:pPr>
      <w:r>
        <w:t>7.6 Refusal to Test</w:t>
      </w:r>
    </w:p>
    <w:p>
      <w:r>
        <w:t>Refusal to submit to any required drug or alcohol test will be treated as a positive test result and will result in immediate removal from safety-sensitive functions and disciplinary action, up to and including termination. This is consistent with 49 CFR Part 382, Subpart D.</w:t>
      </w:r>
    </w:p>
    <w:p>
      <w:pPr>
        <w:pStyle w:val="Heading2"/>
      </w:pPr>
      <w:r>
        <w:t>7.7 Washington State Specific Requirements</w:t>
      </w:r>
    </w:p>
    <w:p>
      <w:r>
        <w:t>In addition to federal regulations, MH Construction, Inc. adheres to Washington State requirements, including WAC 296-155-110 for Accident Prevention Programs, which emphasizes a safe and healthful work environment. While federal regulations primarily govern drug and alcohol testing for CDL holders, MHC ensures its overall safety program aligns with both federal and state mandates. RCW 46.25 outlines the Commercial Driver"s License requirements in Washington State.</w:t>
      </w:r>
    </w:p>
    <w:p>
      <w:pPr>
        <w:pStyle w:val="Heading1"/>
      </w:pPr>
      <w:r>
        <w:t>Training Requirements</w:t>
      </w:r>
    </w:p>
    <w:p>
      <w:r>
        <w:t>All employees performing safety-sensitive functions, and their supervisors, will receive training on the effects of drug and alcohol use, recognition of signs and symptoms of impairment, and the company"s drug and alcohol testing policies. Supervisors will receive additional training on reasonable suspicion determination. Training frequency will be as required by 49 CFR Part 382, Subpart F, and documented in employee training records.</w:t>
      </w:r>
    </w:p>
    <w:p>
      <w:pPr>
        <w:pStyle w:val="Heading1"/>
      </w:pPr>
      <w:r>
        <w:t>Inspection and Enforcement</w:t>
      </w:r>
    </w:p>
    <w:p>
      <w:r>
        <w:t>Compliance with this program will be monitored through regular audits of testing records, observation of employee conduct, and adherence to supervisory responsibilities. Any non-compliance will be subject to corrective action, up to and including disciplinary measures as outlined in the company"s progressive discipline policy.</w:t>
      </w:r>
    </w:p>
    <w:p>
      <w:pPr>
        <w:pStyle w:val="Heading1"/>
      </w:pPr>
      <w:r>
        <w:t>Recordkeeping</w:t>
      </w:r>
    </w:p>
    <w:p>
      <w:r>
        <w:t>MH Construction, Inc. will maintain all records related to the drug and alcohol testing program, including test results, training records, calibration of testing equipment, and Substance Abuse Professional (SAP) reports. These records will be retained for the periods specified in 49 CFR Part 382, Subpart D, and 49 CFR Part 40, and will be managed by the Designated Employer Representative (DER).</w:t>
      </w:r>
    </w:p>
    <w:p>
      <w:pPr>
        <w:pStyle w:val="Heading1"/>
      </w:pPr>
      <w:r>
        <w:t>Violation Consequences</w:t>
      </w:r>
    </w:p>
    <w:p>
      <w:r>
        <w:t>Violations of this policy, including positive test results or refusal to test, will result in immediate removal from safety-sensitive duties. Disciplinary actions will follow a progressive discipline policy, which may include suspension, mandatory SAP evaluation and treatment, and/or termination of employment, in accordance with federal regulations and company policy.</w:t>
      </w:r>
    </w:p>
    <w:p>
      <w:pPr>
        <w:pStyle w:val="Heading1"/>
      </w:pPr>
      <w:r>
        <w:t>References</w:t>
      </w:r>
    </w:p>
    <w:p>
      <w:r>
        <w:t>OSHA: 49 CFR Part 382 FMCSA Controlled Substances and Alcohol Use and Testing</w:t>
      </w:r>
    </w:p>
    <w:p>
      <w:r>
        <w:t>OSHA: 49 CFR Part 40 DOT Drug and Alcohol Testing Procedures</w:t>
      </w:r>
    </w:p>
    <w:p>
      <w:r>
        <w:t>OSHA: 49 CFR Part 391 Qualifications of Drivers</w:t>
      </w:r>
    </w:p>
    <w:p>
      <w:r>
        <w:t>WISHA: WAC 296-155-110 Accident Prevention Program</w:t>
      </w:r>
    </w:p>
    <w:p>
      <w:r>
        <w:t>WISHA: RCW 46.25 Commercial Driver's License</w:t>
      </w:r>
    </w:p>
    <w:p>
      <w:r>
        <w:t xml:space="preserve">AGC: Safety and Health Manual Ch. 2 Drug and Alcohol Programs </w:t>
      </w:r>
    </w:p>
    <w:p>
      <w:r>
        <w:t xml:space="preserve">AGC: FMCSA Employer Handbook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3DD3DAC-8AFF-41BB-9433-D6112A2CD640}"/>
</file>

<file path=customXml/itemProps3.xml><?xml version="1.0" encoding="utf-8"?>
<ds:datastoreItem xmlns:ds="http://schemas.openxmlformats.org/officeDocument/2006/customXml" ds:itemID="{3C243256-AE69-41EF-AE35-1590087CAF52}"/>
</file>

<file path=customXml/itemProps4.xml><?xml version="1.0" encoding="utf-8"?>
<ds:datastoreItem xmlns:ds="http://schemas.openxmlformats.org/officeDocument/2006/customXml" ds:itemID="{4922C8EB-8AC7-4A3A-BC51-CB2C28D54F8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