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MH CONSTRUCTION, INC.</w:t>
      </w:r>
    </w:p>
    <w:p>
      <w:r>
        <w:t>Industrial Safety &amp; Health Program (MISH)</w:t>
      </w:r>
    </w:p>
    <w:p>
      <w:r>
        <w:t>MISH 45 | Miscellaneous Safety Requirements</w:t>
      </w:r>
    </w:p>
    <w:p>
      <w:r>
        <w:t>Revision 3 | Effective: 04/07/2026 | Safety Officer: Matt Ramsey</w:t>
      </w:r>
    </w:p>
    <w:p>
      <w:r>
        <w:t>────────────────────────────────────────────────────────────────────────────────</w:t>
      </w:r>
    </w:p>
    <w:p>
      <w:pPr>
        <w:pStyle w:val="Heading1Custom"/>
      </w:pPr>
      <w:r>
        <w:t>Regulatory Authority</w:t>
      </w:r>
    </w:p>
    <w:tbl>
      <w:tblPr>
        <w:tblW w:type="auto" w:w="0"/>
        <w:tblLayout w:type="autofit"/>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w:t>
            </w:r>
          </w:p>
        </w:tc>
        <w:tc>
          <w:tcPr>
            <w:tcW w:type="dxa" w:w="3000"/>
          </w:tcPr>
          <w:p>
            <w:r>
              <w:t>1926 Subpart C</w:t>
            </w:r>
          </w:p>
        </w:tc>
      </w:tr>
      <w:tr>
        <w:tc>
          <w:tcPr>
            <w:tcW w:type="dxa" w:w="3000"/>
          </w:tcPr>
          <w:p>
            <w:r>
              <w:t>OSHA</w:t>
            </w:r>
          </w:p>
        </w:tc>
        <w:tc>
          <w:tcPr>
            <w:tcW w:type="dxa" w:w="3000"/>
          </w:tcPr>
          <w:p>
            <w:r>
              <w:t>29 CFR</w:t>
            </w:r>
          </w:p>
        </w:tc>
        <w:tc>
          <w:tcPr>
            <w:tcW w:type="dxa" w:w="3000"/>
          </w:tcPr>
          <w:p>
            <w:r>
              <w:t>1926.50 Medical Services and First Aid</w:t>
            </w:r>
          </w:p>
        </w:tc>
      </w:tr>
      <w:tr>
        <w:tc>
          <w:tcPr>
            <w:tcW w:type="dxa" w:w="3000"/>
          </w:tcPr>
          <w:p>
            <w:r>
              <w:t>OSHA</w:t>
            </w:r>
          </w:p>
        </w:tc>
        <w:tc>
          <w:tcPr>
            <w:tcW w:type="dxa" w:w="3000"/>
          </w:tcPr>
          <w:p>
            <w:r>
              <w:t>29 CFR</w:t>
            </w:r>
          </w:p>
        </w:tc>
        <w:tc>
          <w:tcPr>
            <w:tcW w:type="dxa" w:w="3000"/>
          </w:tcPr>
          <w:p>
            <w:r>
              <w:t>1926.51 Sanitation</w:t>
            </w:r>
          </w:p>
        </w:tc>
      </w:tr>
      <w:tr>
        <w:tc>
          <w:tcPr>
            <w:tcW w:type="dxa" w:w="3000"/>
          </w:tcPr>
          <w:p>
            <w:r>
              <w:t>WISHA</w:t>
            </w:r>
          </w:p>
        </w:tc>
        <w:tc>
          <w:tcPr>
            <w:tcW w:type="dxa" w:w="3000"/>
          </w:tcPr>
          <w:p>
            <w:r>
              <w:t>WAC 296-155-035</w:t>
            </w:r>
          </w:p>
        </w:tc>
        <w:tc>
          <w:tcPr>
            <w:tcW w:type="dxa" w:w="3000"/>
          </w:tcPr>
          <w:p>
            <w:r>
              <w:t>General Requirements</w:t>
            </w:r>
          </w:p>
        </w:tc>
      </w:tr>
      <w:tr>
        <w:tc>
          <w:tcPr>
            <w:tcW w:type="dxa" w:w="3000"/>
          </w:tcPr>
          <w:p>
            <w:r>
              <w:t>WISHA</w:t>
            </w:r>
          </w:p>
        </w:tc>
        <w:tc>
          <w:tcPr>
            <w:tcW w:type="dxa" w:w="3000"/>
          </w:tcPr>
          <w:p>
            <w:r>
              <w:t>WAC 296-155-040</w:t>
            </w:r>
          </w:p>
        </w:tc>
        <w:tc>
          <w:tcPr>
            <w:tcW w:type="dxa" w:w="3000"/>
          </w:tcPr>
          <w:p>
            <w:r>
              <w:t>Safe Place Standards</w:t>
            </w:r>
          </w:p>
        </w:tc>
      </w:tr>
      <w:tr>
        <w:tc>
          <w:tcPr>
            <w:tcW w:type="dxa" w:w="3000"/>
          </w:tcPr>
          <w:p>
            <w:r>
              <w:t>WISHA</w:t>
            </w:r>
          </w:p>
        </w:tc>
        <w:tc>
          <w:tcPr>
            <w:tcW w:type="dxa" w:w="3000"/>
          </w:tcPr>
          <w:p>
            <w:r>
              <w:t>WAC 296-155-120</w:t>
            </w:r>
          </w:p>
        </w:tc>
        <w:tc>
          <w:tcPr>
            <w:tcW w:type="dxa" w:w="3000"/>
          </w:tcPr>
          <w:p>
            <w:r>
              <w:t>through 296-155-140</w:t>
            </w:r>
          </w:p>
        </w:tc>
      </w:tr>
      <w:tr>
        <w:tc>
          <w:tcPr>
            <w:tcW w:type="dxa" w:w="3000"/>
          </w:tcPr>
          <w:p>
            <w:r>
              <w:t>AGC</w:t>
            </w:r>
          </w:p>
        </w:tc>
        <w:tc>
          <w:tcPr>
            <w:tcW w:type="dxa" w:w="3000"/>
          </w:tcPr>
          <w:p>
            <w:r>
              <w:t>Jobsite Safety Handbook</w:t>
            </w:r>
          </w:p>
        </w:tc>
        <w:tc>
          <w:tcPr>
            <w:tcW w:type="dxa" w:w="3000"/>
          </w:tcPr>
          <w:p>
            <w:r/>
          </w:p>
        </w:tc>
      </w:tr>
    </w:tbl>
    <w:p>
      <w:pPr>
        <w:pStyle w:val="Heading1Custom"/>
      </w:pPr>
      <w:r>
        <w:t>Purpose</w:t>
      </w:r>
    </w:p>
    <w:p>
      <w:r>
        <w:t>This policy establishes guidelines to ensure a safe and healthy working environment for all personnel involved in MH Construction projects. It aims to prevent injuries, illnesses, and property damage by outlining essential safety requirements.</w:t>
      </w:r>
    </w:p>
    <w:p>
      <w:pPr>
        <w:pStyle w:val="Heading1Custom"/>
      </w:pPr>
      <w:r>
        <w:t>Scope</w:t>
      </w:r>
    </w:p>
    <w:p>
      <w:r>
        <w:t>This policy applies to all MH Construction employees, subcontractors, and visitors on MH Construction job sites. Adherence to these requirements is mandatory to maintain compliance with regulatory standards and company safety objectives.</w:t>
      </w:r>
    </w:p>
    <w:p>
      <w:pPr>
        <w:pStyle w:val="Heading1Custom"/>
      </w:pPr>
      <w:r>
        <w:t>Definitions</w:t>
      </w:r>
    </w:p>
    <w:tbl>
      <w:tblPr>
        <w:tblW w:type="auto" w:w="0"/>
        <w:tblLayout w:type="autofit"/>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First Aid</w:t>
            </w:r>
          </w:p>
        </w:tc>
        <w:tc>
          <w:tcPr>
            <w:tcW w:type="dxa" w:w="4500"/>
          </w:tcPr>
          <w:p>
            <w:r>
              <w:t>Immediate care given to an injured or ill person before professional medical help arrives.</w:t>
            </w:r>
          </w:p>
        </w:tc>
      </w:tr>
      <w:tr>
        <w:tc>
          <w:tcPr>
            <w:tcW w:type="dxa" w:w="4500"/>
          </w:tcPr>
          <w:p>
            <w:r>
              <w:t>Sanitation</w:t>
            </w:r>
          </w:p>
        </w:tc>
        <w:tc>
          <w:tcPr>
            <w:tcW w:type="dxa" w:w="4500"/>
          </w:tcPr>
          <w:p>
            <w:r>
              <w:t>Measures taken to maintain public health, including cleanliness and waste disposal.</w:t>
            </w:r>
          </w:p>
        </w:tc>
      </w:tr>
      <w:tr>
        <w:tc>
          <w:tcPr>
            <w:tcW w:type="dxa" w:w="4500"/>
          </w:tcPr>
          <w:p>
            <w:r>
              <w:t>Competent Person</w:t>
            </w:r>
          </w:p>
        </w:tc>
        <w:tc>
          <w:tcPr>
            <w:tcW w:type="dxa" w:w="4500"/>
          </w:tcPr>
          <w:p>
            <w: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t>Medical Services</w:t>
            </w:r>
          </w:p>
        </w:tc>
        <w:tc>
          <w:tcPr>
            <w:tcW w:type="dxa" w:w="4500"/>
          </w:tcPr>
          <w:p>
            <w:r>
              <w:t>Provision of healthcare and emergency response for workplace injuries and illnesses.</w:t>
            </w:r>
          </w:p>
        </w:tc>
      </w:tr>
      <w:tr>
        <w:tc>
          <w:tcPr>
            <w:tcW w:type="dxa" w:w="4500"/>
          </w:tcPr>
          <w:p>
            <w:r>
              <w:t>Job Site</w:t>
            </w:r>
          </w:p>
        </w:tc>
        <w:tc>
          <w:tcPr>
            <w:tcW w:type="dxa" w:w="4500"/>
          </w:tcPr>
          <w:p>
            <w:r>
              <w:t>Any location where MH Construction or its subcontractors are performing work.</w:t>
            </w:r>
          </w:p>
        </w:tc>
      </w:tr>
    </w:tbl>
    <w:p>
      <w:pPr>
        <w:pStyle w:val="Heading1Custom"/>
      </w:pPr>
      <w:r>
        <w:t>Responsibilities</w:t>
      </w:r>
    </w:p>
    <w:p>
      <w:pPr>
        <w:pStyle w:val="Heading2Custom"/>
      </w:pPr>
      <w:r>
        <w:t>Company/Management Responsibilities</w:t>
      </w:r>
    </w:p>
    <w:p>
      <w:pPr>
        <w:pStyle w:val="ListBullet"/>
      </w:pPr>
      <w:r>
        <w:t>Establish and maintain a comprehensive safety program. Provide necessary resources for safety training and equipment. Ensure compliance with all applicable federal, state, and local safety regulations.</w:t>
      </w:r>
    </w:p>
    <w:p>
      <w:pPr>
        <w:pStyle w:val="Heading2Custom"/>
      </w:pPr>
      <w:r>
        <w:t>Supervisor/Foreman Responsibilities</w:t>
      </w:r>
    </w:p>
    <w:p>
      <w:pPr>
        <w:pStyle w:val="ListBullet"/>
      </w:pPr>
      <w:r>
        <w:t>Implement and enforce safety policies on job sites. Conduct regular safety inspections and toolbox talks. Investigate all incidents and accidents, ensuring corrective actions are taken.</w:t>
      </w:r>
    </w:p>
    <w:p>
      <w:pPr>
        <w:pStyle w:val="Heading2Custom"/>
      </w:pPr>
      <w:r>
        <w:t>Employee Responsibilities</w:t>
      </w:r>
    </w:p>
    <w:p>
      <w:pPr>
        <w:pStyle w:val="ListBullet"/>
      </w:pPr>
      <w:r>
        <w:t>Adhere to all safety rules and procedures. Report hazards, injuries, and near misses immediately. Use personal protective equipment (PPE) as required and participate in safety training.</w:t>
      </w:r>
    </w:p>
    <w:p>
      <w:pPr>
        <w:pStyle w:val="Heading2Custom"/>
      </w:pPr>
      <w:r>
        <w:t>Subcontractor Responsibilities</w:t>
      </w:r>
    </w:p>
    <w:p>
      <w:pPr>
        <w:pStyle w:val="ListBullet"/>
      </w:pPr>
      <w:r>
        <w:t>Comply with MH Construction's safety program and all regulatory requirements. Provide their employees with necessary safety training and equipment. Coordinate safety efforts with MH Construction site supervision.</w:t>
      </w:r>
    </w:p>
    <w:p>
      <w:pPr>
        <w:pStyle w:val="Heading1Custom"/>
      </w:pPr>
      <w:r>
        <w:t>Procedures / Requirements</w:t>
      </w:r>
    </w:p>
    <w:p>
      <w:pPr>
        <w:pStyle w:val="Heading2Custom"/>
      </w:pPr>
      <w:r>
        <w:t>7.1 Medical Services and First Aid</w:t>
      </w:r>
    </w:p>
    <w:p>
      <w:pPr>
        <w:pStyle w:val="ListNumber"/>
      </w:pPr>
      <w:r>
        <w:t>MH Construction shall ensure that medical personnel are readily available for advice and consultation on matters of occupational health. Provisions shall be made for prompt medical attention in case of serious injury. Per 29 CFR 1926.50(b), a person certified in first aid shall be available at the worksite. First aid supplies shall be readily accessible and maintained in a sanitary, usable condition. Per WAC 296-155-040(1)(b), a first-aid station shall be provided at all worksites.</w:t>
      </w:r>
    </w:p>
    <w:p>
      <w:pPr>
        <w:pStyle w:val="Heading2Custom"/>
      </w:pPr>
      <w:r>
        <w:t>7.2 Sanitation - Potable Water</w:t>
      </w:r>
    </w:p>
    <w:p>
      <w:pPr>
        <w:pStyle w:val="ListNumber"/>
      </w:pPr>
      <w:r>
        <w:t>An adequate supply of potable water shall be provided in all places of employment. Per 29 CFR 1926.51(a)(1), potable water shall be provided for drinking, washing, and cooking purposes. Drinking water shall be dispensed from a fountain, a covered container with a tap, or single-service cups. Common drinking cups are prohibited. Per WAC 296-155-120(1), potable water shall be provided at all construction sites.</w:t>
      </w:r>
    </w:p>
    <w:p>
      <w:pPr>
        <w:pStyle w:val="Heading2Custom"/>
      </w:pPr>
      <w:r>
        <w:t>7.3 Sanitation - Non-potable Water</w:t>
      </w:r>
    </w:p>
    <w:p>
      <w:pPr>
        <w:pStyle w:val="ListNumber"/>
      </w:pPr>
      <w:r>
        <w:t>Non-potable water may be used for purposes such as fire protection and flushing toilets, provided it is clearly marked as 'Non-potable Water' and does not present a hazard to employees. No connection shall be made between a system furnishing potable water and a system furnishing non-potable water. Per 29 CFR 1926.51(b)(1), non-potable water systems must be identified.</w:t>
      </w:r>
    </w:p>
    <w:p>
      <w:pPr>
        <w:pStyle w:val="Heading2Custom"/>
      </w:pPr>
      <w:r>
        <w:t>7.4 Sanitation - Toilets and Handwashing Facilities</w:t>
      </w:r>
    </w:p>
    <w:p>
      <w:pPr>
        <w:pStyle w:val="ListNumber"/>
      </w:pPr>
      <w:r>
        <w:t>Adequate toilet facilities shall be provided for all employees. These facilities shall be maintained in a sanitary condition and be readily accessible. Per 29 CFR 1926.51(c)(1), at least one toilet facility shall be provided for every 20 employees. Handwashing facilities, including soap and water or suitable cleansing agents, shall be available. Per WAC 296-155-130(1), toilet facilities must be provided and maintained.</w:t>
      </w:r>
    </w:p>
    <w:p>
      <w:pPr>
        <w:pStyle w:val="Heading2Custom"/>
      </w:pPr>
      <w:r>
        <w:t>7.5 Sanitation - Food Handling</w:t>
      </w:r>
    </w:p>
    <w:p>
      <w:pPr>
        <w:pStyle w:val="ListNumber"/>
      </w:pPr>
      <w:r>
        <w:t>All food service facilities and operations shall be carried out in accordance with sound hygienic principles. Food shall be protected from contamination. Waste disposal containers shall be provided and emptied regularly. Per 29 CFR 1926.51(d)(1), all employees' food and beverages shall be protected from contamination.</w:t>
      </w:r>
    </w:p>
    <w:p>
      <w:pPr>
        <w:pStyle w:val="Heading2Custom"/>
      </w:pPr>
      <w:r>
        <w:t>7.6 Housekeeping</w:t>
      </w:r>
    </w:p>
    <w:p>
      <w:pPr>
        <w:pStyle w:val="ListNumber"/>
      </w:pPr>
      <w:r>
        <w:t>Work areas, passageways, and stairs shall be kept clear of obstructions and debris to prevent slips, trips, and falls. Accumulations of combustible scrap and debris shall be removed at regular intervals. Per WAC 226-155-035(1), all places of employment shall be kept clean and orderly.</w:t>
      </w:r>
    </w:p>
    <w:p>
      <w:pPr>
        <w:pStyle w:val="Heading2Custom"/>
      </w:pPr>
      <w:r>
        <w:t>7.7 Waste Disposal</w:t>
      </w:r>
    </w:p>
    <w:p>
      <w:pPr>
        <w:pStyle w:val="ListNumber"/>
      </w:pPr>
      <w:r>
        <w:t>Receptacles for waste shall be provided and maintained in a sanitary condition. Hazardous waste shall be disposed of in accordance with environmental regulations. Per 29 CFR 1926.51(e)(1), all garbage and other waste shall be disposed of at reasonable intervals.</w:t>
      </w:r>
    </w:p>
    <w:p>
      <w:pPr>
        <w:pStyle w:val="Heading2Custom"/>
      </w:pPr>
      <w:r>
        <w:t>7.8 Illumination</w:t>
      </w:r>
    </w:p>
    <w:p>
      <w:pPr>
        <w:pStyle w:val="ListNumber"/>
      </w:pPr>
      <w:r>
        <w:t>Adequate illumination shall be provided in all work areas, particularly in confined spaces and during night operations, to ensure safe working conditions. Per WAC 296-155-035(2), adequate lighting shall be provided in all work areas.</w:t>
      </w:r>
    </w:p>
    <w:p>
      <w:pPr>
        <w:pStyle w:val="Heading1Custom"/>
      </w:pPr>
      <w:r>
        <w:t>Training Requirements</w:t>
      </w:r>
    </w:p>
    <w:p>
      <w:r>
        <w:t>All employees shall receive training on general safety and health provisions applicable to their work, including first aid procedures and sanitation requirements. Training shall be conducted upon initial assignment and periodically thereafter. Documentation of training, including dates, topics, and attendees, shall be maintained by the Safety Officer. Per 29 CFR 1926 Subpart C, employers are responsible for initiating and maintaining accident prevention programs.</w:t>
      </w:r>
    </w:p>
    <w:p>
      <w:pPr>
        <w:pStyle w:val="Heading1Custom"/>
      </w:pPr>
      <w:r>
        <w:t>Inspection and Enforcement</w:t>
      </w:r>
    </w:p>
    <w:p>
      <w:r>
        <w:t>Regular inspections of job sites shall be conducted by supervisors and the Safety Officer to ensure compliance with this policy and all regulatory standards. Any identified deficiencies shall be documented, and corrective actions implemented promptly. Non-compliance will result in enforcement actions as outlined in the Violation Consequences section.</w:t>
      </w:r>
    </w:p>
    <w:p>
      <w:pPr>
        <w:pStyle w:val="Heading1Custom"/>
      </w:pPr>
      <w:r>
        <w:t>Recordkeeping</w:t>
      </w:r>
    </w:p>
    <w:p>
      <w:r>
        <w:t>Records of safety inspections, incident reports, first aid logs, and training documentation shall be maintained for a minimum of five years. The Safety Officer is responsible for ensuring all records are accurately kept and readily accessible for review by regulatory agencies. Per WAC 296-155-035(3), records of inspections shall be maintained.</w:t>
      </w:r>
    </w:p>
    <w:p>
      <w:pPr>
        <w:pStyle w:val="Heading1Custom"/>
      </w:pPr>
      <w:r>
        <w:t>Violation Consequences</w:t>
      </w:r>
    </w:p>
    <w:p>
      <w:r>
        <w:t>Violations of this safety policy will result in progressive disciplinary action, up to and including termination of employment or contract. The severity of the disciplinary action will depend on the nature and frequency of the violation, as well as its potential to cause harm. All disciplinary actions will be documented.</w:t>
      </w:r>
    </w:p>
    <w:p>
      <w:pPr>
        <w:pStyle w:val="Heading1Custom"/>
      </w:pPr>
      <w:r>
        <w:t>References</w:t>
      </w:r>
    </w:p>
    <w:p>
      <w:r>
        <w:t>OSHA: 29 CFR 1926 Subpart C; 29 CFR 1926.50 Medical Services and First Aid; 29 CFR 1926.51 Sanitation</w:t>
      </w:r>
    </w:p>
    <w:p>
      <w:r>
        <w:t>WISHA: WAC 296-155-035 General Requirements; WAC 296-155-040 Safe Place Standards; WAC 296-155-120 through 296-155-140</w:t>
      </w:r>
    </w:p>
    <w:p>
      <w:r>
        <w:t>AGC: Jobsite Safety Handbook</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
    <w:name w:val="Heading 1 Custom"/>
    <w:basedOn w:val="Heading1"/>
    <w:rPr>
      <w:rFonts w:ascii="Arial" w:hAnsi="Arial"/>
      <w:b/>
      <w:sz w:val="24"/>
    </w:rPr>
  </w:style>
  <w:style w:type="paragraph" w:customStyle="1" w:styleId="Heading2Custom">
    <w:name w:val="Heading 2 Custom"/>
    <w:basedOn w:val="Heading2"/>
    <w:rPr>
      <w:rFonts w:ascii="Arial" w:hAnsi="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C88FB25-0464-4382-8E8C-23363E0FA51E}"/>
</file>

<file path=customXml/itemProps3.xml><?xml version="1.0" encoding="utf-8"?>
<ds:datastoreItem xmlns:ds="http://schemas.openxmlformats.org/officeDocument/2006/customXml" ds:itemID="{CF3760EC-092C-43D9-9E3A-BA2F3A2D4310}"/>
</file>

<file path=customXml/itemProps4.xml><?xml version="1.0" encoding="utf-8"?>
<ds:datastoreItem xmlns:ds="http://schemas.openxmlformats.org/officeDocument/2006/customXml" ds:itemID="{EDC85654-CF9F-4F99-B68C-FACC67AA154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