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r>
    </w:p>
    <w:p>
      <w:pPr>
        <w:jc w:val="center"/>
      </w:pPr>
      <w:r>
        <w:t>Industrial Safety &amp; Health Program (MISH)</w:t>
      </w:r>
    </w:p>
    <w:p>
      <w:pPr>
        <w:jc w:val="center"/>
      </w:pPr>
      <w:r>
        <w:t>MISH 47 | Insurance Requirements Contractual Risk Transfer</w:t>
      </w:r>
    </w:p>
    <w:p>
      <w:pPr>
        <w:jc w:val="center"/>
      </w:pPr>
      <w:r>
        <w:t>Revision 3 | Effective: 04/07/2026 | Safety Officer: Matt Ramsey</w:t>
      </w:r>
    </w:p>
    <w:p>
      <w:pPr>
        <w:jc w:val="center"/>
      </w:pPr>
      <w:r>
        <w:t>————————————————————————————————————————</w:t>
      </w:r>
    </w:p>
    <w:p>
      <w:pPr>
        <w:pStyle w:val="Heading1Custom"/>
      </w:pPr>
      <w:r>
        <w:t>1. REGULATORY AUTHORITY</w:t>
      </w:r>
    </w:p>
    <w:tbl>
      <w:tblPr>
        <w:tblW w:type="auto" w:w="0"/>
        <w:tblLayout w:type="autofit"/>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 CFR 1926.16</w:t>
            </w:r>
          </w:p>
        </w:tc>
        <w:tc>
          <w:tcPr>
            <w:tcW w:type="dxa" w:w="3000"/>
          </w:tcPr>
          <w:p>
            <w:r>
              <w:t>Rules of Construction</w:t>
            </w:r>
          </w:p>
        </w:tc>
      </w:tr>
      <w:tr>
        <w:tc>
          <w:tcPr>
            <w:tcW w:type="dxa" w:w="3000"/>
          </w:tcPr>
          <w:p>
            <w:r>
              <w:t>OSHA</w:t>
            </w:r>
          </w:p>
        </w:tc>
        <w:tc>
          <w:tcPr>
            <w:tcW w:type="dxa" w:w="3000"/>
          </w:tcPr>
          <w:p>
            <w:r>
              <w:t>OSH Act Section 4(b)(1)</w:t>
            </w:r>
          </w:p>
        </w:tc>
        <w:tc>
          <w:tcPr>
            <w:tcW w:type="dxa" w:w="3000"/>
          </w:tcPr>
          <w:p>
            <w:r>
              <w:t>General Duty Clause</w:t>
            </w:r>
          </w:p>
        </w:tc>
      </w:tr>
      <w:tr>
        <w:tc>
          <w:tcPr>
            <w:tcW w:type="dxa" w:w="3000"/>
          </w:tcPr>
          <w:p>
            <w:r>
              <w:t>WISHA</w:t>
            </w:r>
          </w:p>
        </w:tc>
        <w:tc>
          <w:tcPr>
            <w:tcW w:type="dxa" w:w="3000"/>
          </w:tcPr>
          <w:p>
            <w:r>
              <w:t>WAC 296-155-110</w:t>
            </w:r>
          </w:p>
        </w:tc>
        <w:tc>
          <w:tcPr>
            <w:tcW w:type="dxa" w:w="3000"/>
          </w:tcPr>
          <w:p>
            <w:r>
              <w:t>Accident Prevention Program</w:t>
            </w:r>
          </w:p>
        </w:tc>
      </w:tr>
      <w:tr>
        <w:tc>
          <w:tcPr>
            <w:tcW w:type="dxa" w:w="3000"/>
          </w:tcPr>
          <w:p>
            <w:r>
              <w:t>WISHA</w:t>
            </w:r>
          </w:p>
        </w:tc>
        <w:tc>
          <w:tcPr>
            <w:tcW w:type="dxa" w:w="3000"/>
          </w:tcPr>
          <w:p>
            <w:r>
              <w:t>RCW 51</w:t>
            </w:r>
          </w:p>
        </w:tc>
        <w:tc>
          <w:tcPr>
            <w:tcW w:type="dxa" w:w="3000"/>
          </w:tcPr>
          <w:p>
            <w:r>
              <w:t>Washington Industrial Insurance Workers Compensation</w:t>
            </w:r>
          </w:p>
        </w:tc>
      </w:tr>
      <w:tr>
        <w:tc>
          <w:tcPr>
            <w:tcW w:type="dxa" w:w="3000"/>
          </w:tcPr>
          <w:p>
            <w:r>
              <w:t>WISHA</w:t>
            </w:r>
          </w:p>
        </w:tc>
        <w:tc>
          <w:tcPr>
            <w:tcW w:type="dxa" w:w="3000"/>
          </w:tcPr>
          <w:p>
            <w:r>
              <w:t>RCW 51.12.070</w:t>
            </w:r>
          </w:p>
        </w:tc>
        <w:tc>
          <w:tcPr>
            <w:tcW w:type="dxa" w:w="3000"/>
          </w:tcPr>
          <w:p>
            <w:r>
              <w:t>Contractor Liability</w:t>
            </w:r>
          </w:p>
        </w:tc>
      </w:tr>
      <w:tr>
        <w:tc>
          <w:tcPr>
            <w:tcW w:type="dxa" w:w="3000"/>
          </w:tcPr>
          <w:p>
            <w:r>
              <w:t>AGC</w:t>
            </w:r>
          </w:p>
        </w:tc>
        <w:tc>
          <w:tcPr>
            <w:tcW w:type="dxa" w:w="3000"/>
          </w:tcPr>
          <w:p>
            <w:r>
              <w:t>Contract Documents</w:t>
            </w:r>
          </w:p>
        </w:tc>
        <w:tc>
          <w:tcPr>
            <w:tcW w:type="dxa" w:w="3000"/>
          </w:tcPr>
          <w:p>
            <w:r>
              <w:t>Subcontract Provisions</w:t>
            </w:r>
          </w:p>
        </w:tc>
      </w:tr>
      <w:tr>
        <w:tc>
          <w:tcPr>
            <w:tcW w:type="dxa" w:w="3000"/>
          </w:tcPr>
          <w:p>
            <w:r>
              <w:t>AGC</w:t>
            </w:r>
          </w:p>
        </w:tc>
        <w:tc>
          <w:tcPr>
            <w:tcW w:type="dxa" w:w="3000"/>
          </w:tcPr>
          <w:p>
            <w:r>
              <w:t>AGC Risk Management Manual</w:t>
            </w:r>
          </w:p>
        </w:tc>
        <w:tc>
          <w:tcPr>
            <w:tcW w:type="dxa" w:w="3000"/>
          </w:tcPr>
          <w:p>
            <w:r/>
          </w:p>
        </w:tc>
      </w:tr>
    </w:tbl>
    <w:p/>
    <w:p>
      <w:pPr>
        <w:pStyle w:val="Heading1Custom"/>
      </w:pPr>
      <w:r>
        <w:t>2. PURPOSE</w:t>
      </w:r>
    </w:p>
    <w:p>
      <w:r>
        <w:t>This policy establishes clear guidelines for insurance requirements and contractual risk transfer within MH Construction, Inc. It aims to protect the company, its employees, and its projects from potential financial liabilities and operational disruptions arising from unforeseen incidents or contractual breaches.</w:t>
      </w:r>
    </w:p>
    <w:p>
      <w:pPr>
        <w:pStyle w:val="Heading1Custom"/>
      </w:pPr>
      <w:r>
        <w:t>3. SCOPE</w:t>
      </w:r>
    </w:p>
    <w:p>
      <w:r>
        <w:t>This policy applies to all MH Construction, Inc. employees, subcontractors, vendors, and any other parties engaged in activities on MH Construction job sites or under contract with MH Construction, Inc.</w:t>
      </w:r>
    </w:p>
    <w:p>
      <w:pPr>
        <w:pStyle w:val="Heading1Custom"/>
      </w:pPr>
      <w:r>
        <w:t>4. DEFINITIONS</w:t>
      </w:r>
    </w:p>
    <w:tbl>
      <w:tblPr>
        <w:tblW w:type="auto" w:w="0"/>
        <w:tblLayout w:type="autofit"/>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Certificate of Insurance (COI)</w:t>
            </w:r>
          </w:p>
        </w:tc>
        <w:tc>
          <w:tcPr>
            <w:tcW w:type="dxa" w:w="4500"/>
          </w:tcPr>
          <w:p>
            <w:r>
              <w:t>A document issued by an insurance company/broker that verifies the existence of an insurance policy and summarizes its key terms and conditions.</w:t>
            </w:r>
          </w:p>
        </w:tc>
      </w:tr>
      <w:tr>
        <w:tc>
          <w:tcPr>
            <w:tcW w:type="dxa" w:w="4500"/>
          </w:tcPr>
          <w:p>
            <w:r>
              <w:t>Additional Insured</w:t>
            </w:r>
          </w:p>
        </w:tc>
        <w:tc>
          <w:tcPr>
            <w:tcW w:type="dxa" w:w="4500"/>
          </w:tcPr>
          <w:p>
            <w:r>
              <w:t>An individual or entity, other than the named insured, who is covered by an insurance policy. Typically required for subcontractors to protect MH Construction.</w:t>
            </w:r>
          </w:p>
        </w:tc>
      </w:tr>
      <w:tr>
        <w:tc>
          <w:tcPr>
            <w:tcW w:type="dxa" w:w="4500"/>
          </w:tcPr>
          <w:p>
            <w:r>
              <w:t>Hold Harmless Agreement</w:t>
            </w:r>
          </w:p>
        </w:tc>
        <w:tc>
          <w:tcPr>
            <w:tcW w:type="dxa" w:w="4500"/>
          </w:tcPr>
          <w:p>
            <w:r>
              <w:t>A contractual agreement where one party agrees not to hold the other party responsible for any loss, damage, or legal liability.</w:t>
            </w:r>
          </w:p>
        </w:tc>
      </w:tr>
      <w:tr>
        <w:tc>
          <w:tcPr>
            <w:tcW w:type="dxa" w:w="4500"/>
          </w:tcPr>
          <w:p>
            <w:r>
              <w:t>Waiver of Subrogation</w:t>
            </w:r>
          </w:p>
        </w:tc>
        <w:tc>
          <w:tcPr>
            <w:tcW w:type="dxa" w:w="4500"/>
          </w:tcPr>
          <w:p>
            <w:r>
              <w:t>An endorsement that prevents an insurer from seeking recovery from a third party who may have been responsible for a loss.</w:t>
            </w:r>
          </w:p>
        </w:tc>
      </w:tr>
      <w:tr>
        <w:tc>
          <w:tcPr>
            <w:tcW w:type="dxa" w:w="4500"/>
          </w:tcPr>
          <w:p>
            <w:r>
              <w:t>Contractual Risk Transfer</w:t>
            </w:r>
          </w:p>
        </w:tc>
        <w:tc>
          <w:tcPr>
            <w:tcW w:type="dxa" w:w="4500"/>
          </w:tcPr>
          <w:p>
            <w:r>
              <w:t>The process of shifting potential financial loss from one party to another through contractual agreements, such as insurance requirements and indemnification clauses.</w:t>
            </w:r>
          </w:p>
        </w:tc>
      </w:tr>
    </w:tbl>
    <w:p/>
    <w:p>
      <w:pPr>
        <w:pStyle w:val="Heading1Custom"/>
      </w:pPr>
      <w:r>
        <w:t>5. RESPONSIBILITIES</w:t>
      </w:r>
    </w:p>
    <w:p>
      <w:pPr>
        <w:pStyle w:val="Heading2Custom"/>
      </w:pPr>
      <w:r>
        <w:t>5.1 Company/Management</w:t>
      </w:r>
    </w:p>
    <w:p>
      <w:pPr/>
      <w:r>
        <w:t>• Establish and maintain comprehensive insurance policies.</w:t>
      </w:r>
    </w:p>
    <w:p>
      <w:pPr/>
      <w:r>
        <w:t>• Ensure all contracts include appropriate insurance and indemnification clauses.</w:t>
      </w:r>
    </w:p>
    <w:p>
      <w:pPr/>
      <w:r>
        <w:t>• Review and approve subcontractor insurance documentation.</w:t>
      </w:r>
    </w:p>
    <w:p>
      <w:pPr>
        <w:pStyle w:val="Heading2Custom"/>
      </w:pPr>
      <w:r>
        <w:t>5.2 Supervisor/Foreman</w:t>
      </w:r>
    </w:p>
    <w:p>
      <w:pPr/>
      <w:r>
        <w:t>• Verify that all personnel on site, including subcontractors, adhere to safety protocols.</w:t>
      </w:r>
    </w:p>
    <w:p>
      <w:pPr/>
      <w:r>
        <w:t>• Report any incidents or potential risks immediately.</w:t>
      </w:r>
    </w:p>
    <w:p>
      <w:pPr>
        <w:pStyle w:val="Heading2Custom"/>
      </w:pPr>
      <w:r>
        <w:t>5.3 Employee</w:t>
      </w:r>
    </w:p>
    <w:p>
      <w:pPr/>
      <w:r>
        <w:t>• Adhere to all safety policies and procedures.</w:t>
      </w:r>
    </w:p>
    <w:p>
      <w:pPr/>
      <w:r>
        <w:t>• Report any unsafe conditions or incidents to their supervisor.</w:t>
      </w:r>
    </w:p>
    <w:p>
      <w:pPr>
        <w:pStyle w:val="Heading2Custom"/>
      </w:pPr>
      <w:r>
        <w:t>5.4 Subcontractor</w:t>
      </w:r>
    </w:p>
    <w:p>
      <w:pPr/>
      <w:r>
        <w:t>• Maintain required insurance coverage and provide valid Certificates of Insurance.</w:t>
      </w:r>
    </w:p>
    <w:p>
      <w:pPr/>
      <w:r>
        <w:t>• Comply with all contractual insurance and indemnification requirements.</w:t>
      </w:r>
    </w:p>
    <w:p>
      <w:pPr/>
      <w:r>
        <w:t>• Adhere to all MH Construction safety policies and regulatory requirements.</w:t>
      </w:r>
    </w:p>
    <w:p>
      <w:pPr>
        <w:pStyle w:val="Heading1Custom"/>
      </w:pPr>
      <w:r>
        <w:t>6. PROCEDURES / REQUIREMENTS</w:t>
      </w:r>
    </w:p>
    <w:p>
      <w:pPr>
        <w:pStyle w:val="Heading2Custom"/>
      </w:pPr>
      <w:r>
        <w:t>6.1 General Insurance Requirements</w:t>
      </w:r>
    </w:p>
    <w:p>
      <w:r>
        <w:t>All subcontractors and vendors working for MH Construction, Inc. must maintain adequate insurance coverage as specified in their contracts. This typically includes Commercial General Liability, Workers' Compensation, and Automobile Liability insurance. Per RCW 51, Washington Industrial Insurance Workers Compensation, all employers must provide industrial insurance for their employees.</w:t>
      </w:r>
    </w:p>
    <w:p>
      <w:pPr>
        <w:pStyle w:val="Heading2Custom"/>
      </w:pPr>
      <w:r>
        <w:t>6.2 Certificate of Insurance (COI) Submission</w:t>
      </w:r>
    </w:p>
    <w:p>
      <w:r>
        <w:t>Prior to commencing any work, subcontractors must provide MH Construction, Inc. with a current Certificate of Insurance (COI) from their insurance provider. The COI must name MH Construction, Inc. as an Additional Insured on their Commercial General Liability policy. This aligns with the principles outlined in AGC Contract Documents Subcontract Provisions.</w:t>
      </w:r>
    </w:p>
    <w:p>
      <w:pPr>
        <w:pStyle w:val="Heading2Custom"/>
      </w:pPr>
      <w:r>
        <w:t>6.3 Minimum Coverage Limits</w:t>
      </w:r>
    </w:p>
    <w:p>
      <w:r>
        <w:t>Minimum insurance coverage limits will be specified in each contract, but generally include: Commercial General Liability ($1,000,000 per occurrence / $2,000,000 aggregate), Automobile Liability ($1,000,000 combined single limit), and Workers' Compensation (statutory limits). These limits are established to ensure adequate protection against potential claims, consistent with OSH Act Section 4(b)(1) general duty clause.</w:t>
      </w:r>
    </w:p>
    <w:p>
      <w:pPr>
        <w:pStyle w:val="Heading2Custom"/>
      </w:pPr>
      <w:r>
        <w:t>6.4 Contractual Indemnification and Hold Harmless</w:t>
      </w:r>
    </w:p>
    <w:p>
      <w:r>
        <w:t>All contracts with subcontractors will include indemnification and hold harmless clauses, requiring the subcontractor to defend, indemnify, and hold harmless MH Construction, Inc. from any claims, damages, losses, and expenses arising out of their work. This is a critical component of contractual risk transfer, as detailed in the AGC Risk Management Manual.</w:t>
      </w:r>
    </w:p>
    <w:p>
      <w:pPr>
        <w:pStyle w:val="Heading2Custom"/>
      </w:pPr>
      <w:r>
        <w:t>6.5 Waiver of Subrogation</w:t>
      </w:r>
    </w:p>
    <w:p>
      <w:r>
        <w:t>Subcontractors shall provide a Waiver of Subrogation in favor of MH Construction, Inc. on their Workers' Compensation and Commercial General Liability policies. This prevents their insurers from seeking recovery from MH Construction, Inc. in the event of a loss, further solidifying risk transfer.</w:t>
      </w:r>
    </w:p>
    <w:p>
      <w:pPr>
        <w:pStyle w:val="Heading2Custom"/>
      </w:pPr>
      <w:r>
        <w:t>6.6 Compliance Monitoring and Audits</w:t>
      </w:r>
    </w:p>
    <w:p>
      <w:r>
        <w:t>MH Construction, Inc. reserves the right to monitor subcontractor compliance with insurance requirements and conduct periodic audits of insurance documentation. Failure to maintain required coverage or provide updated COIs may result in suspension of work or contract termination. This proactive approach supports the Accident Prevention Program outlined in WAC 296-155-110.</w:t>
      </w:r>
    </w:p>
    <w:p>
      <w:pPr>
        <w:pStyle w:val="Heading2Custom"/>
      </w:pPr>
      <w:r>
        <w:t>6.7 Reporting Incidents and Claims</w:t>
      </w:r>
    </w:p>
    <w:p>
      <w:r>
        <w:t>Any incident that may give rise to an insurance claim must be reported immediately to MH Construction, Inc. management. Prompt reporting is crucial for effective claims management and adherence to insurance policy terms. Per 29 CFR 1926.16, all contractors are responsible for initiating and maintaining accident prevention programs.</w:t>
      </w:r>
    </w:p>
    <w:p>
      <w:pPr>
        <w:pStyle w:val="Heading2Custom"/>
      </w:pPr>
      <w:r>
        <w:t>6.8 Contractor Liability</w:t>
      </w:r>
    </w:p>
    <w:p>
      <w:r>
        <w:t>Per RCW 51.12.070, contractors are liable for ensuring that all subcontractors comply with industrial insurance requirements. MH Construction, Inc. will take all necessary steps to ensure compliance and mitigate associated risks.</w:t>
      </w:r>
    </w:p>
    <w:p>
      <w:pPr>
        <w:pStyle w:val="Heading1Custom"/>
      </w:pPr>
      <w:r>
        <w:t>7. TRAINING REQUIREMENTS</w:t>
      </w:r>
    </w:p>
    <w:p>
      <w:r>
        <w:t>All project managers, supervisors, and personnel responsible for contract administration and subcontractor oversight will receive training on this policy. Training will cover the importance of insurance requirements, how to review COIs, and the implications of contractual risk transfer. Training will be conducted annually, and attendance will be documented. Applicable OSHA/WISHA training mandates related to general safety and hazard communication are also reinforced.</w:t>
      </w:r>
    </w:p>
    <w:p>
      <w:pPr>
        <w:pStyle w:val="Heading1Custom"/>
      </w:pPr>
      <w:r>
        <w:t>8. INSPECTION AND ENFORCEMENT</w:t>
      </w:r>
    </w:p>
    <w:p>
      <w:r>
        <w:t>Compliance with insurance requirements will be monitored through regular review of subcontractor contracts and COIs. Project managers are responsible for verifying current and adequate coverage before work commences and throughout the project duration. Any non-compliance will result in immediate corrective action, which may include work stoppage until compliance is achieved.</w:t>
      </w:r>
    </w:p>
    <w:p>
      <w:pPr>
        <w:pStyle w:val="Heading1Custom"/>
      </w:pPr>
      <w:r>
        <w:t>9. RECORDKEEPING</w:t>
      </w:r>
    </w:p>
    <w:p>
      <w:r>
        <w:t>Copies of all subcontractor contracts, Certificates of Insurance, and any related insurance documentation will be maintained by MH Construction, Inc. for a minimum of seven years. The Director of Digital Operations and Infrastructure is responsible for ensuring these records are securely stored and readily accessible for audit purposes.</w:t>
      </w:r>
    </w:p>
    <w:p>
      <w:pPr>
        <w:pStyle w:val="Heading1Custom"/>
      </w:pPr>
      <w:r>
        <w:t>10. VIOLATION CONSEQUENCES</w:t>
      </w:r>
    </w:p>
    <w:p>
      <w:r>
        <w:t>Failure to comply with the insurance requirements and contractual risk transfer policies outlined in this document may result in progressive disciplinary actions. For subcontractors, this may include suspension of work, financial penalties, or termination of contract. For employees, non-compliance may lead to disciplinary action up to and including termination of employment, in accordance with MH Construction's HR policies.</w:t>
      </w:r>
    </w:p>
    <w:p>
      <w:pPr>
        <w:pStyle w:val="Heading1Custom"/>
      </w:pPr>
      <w:r>
        <w:t>11. REFERENCES</w:t>
      </w:r>
    </w:p>
    <w:p>
      <w:r>
        <w:t>• OSHA: 29 CFR 1926.16 - Rules of Construction</w:t>
      </w:r>
    </w:p>
    <w:p>
      <w:r>
        <w:t>• OSHA: OSH Act Section 4(b)(1) - General Duty Clause</w:t>
      </w:r>
    </w:p>
    <w:p>
      <w:r>
        <w:t>• WISHA: WAC 296-155-110 - Accident Prevention Program</w:t>
      </w:r>
    </w:p>
    <w:p>
      <w:r>
        <w:t>• WISHA: RCW 51 - Washington Industrial Insurance Workers Compensation</w:t>
      </w:r>
    </w:p>
    <w:p>
      <w:r>
        <w:t>• WISHA: RCW 51.12.070 - Contractor Liability</w:t>
      </w:r>
    </w:p>
    <w:p>
      <w:r>
        <w:t>• AGC: Contract Documents - Subcontract Provisions</w:t>
      </w:r>
    </w:p>
    <w:p>
      <w:r>
        <w:t xml:space="preserve">• AGC: AGC Risk Management Manual - </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Custom">
    <w:name w:val="Heading 1 Custom"/>
    <w:pPr>
      <w:spacing w:after="240"/>
    </w:pPr>
    <w:rPr>
      <w:rFonts w:ascii="Arial" w:hAnsi="Arial"/>
      <w:b/>
      <w:sz w:val="24"/>
    </w:rPr>
  </w:style>
  <w:style w:type="paragraph" w:customStyle="1" w:styleId="Heading2Custom">
    <w:name w:val="Heading 2 Custom"/>
    <w:pPr>
      <w:spacing w:after="20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1E0EAFF-637A-4934-8AEE-429F20EB0D10}"/>
</file>

<file path=customXml/itemProps3.xml><?xml version="1.0" encoding="utf-8"?>
<ds:datastoreItem xmlns:ds="http://schemas.openxmlformats.org/officeDocument/2006/customXml" ds:itemID="{064B53B4-430D-495D-95BC-974C7C29D401}"/>
</file>

<file path=customXml/itemProps4.xml><?xml version="1.0" encoding="utf-8"?>
<ds:datastoreItem xmlns:ds="http://schemas.openxmlformats.org/officeDocument/2006/customXml" ds:itemID="{9143D6B4-452D-4028-AF47-F3D4B7896AD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