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MISH 55 — Mental Health &amp; Workforce Wellbeing</w:t>
      </w:r>
    </w:p>
    <w:p>
      <w:pPr>
        <w:spacing w:after="240"/>
      </w:pPr>
      <w:r>
        <w:t xml:space="preserve">Document Level: POLICY / PROCEDURE / TASK | Revision: 5.0</w:t>
      </w:r>
    </w:p>
    <w:p>
      <w:pPr>
        <w:pStyle w:val="Heading2"/>
        <w:spacing w:after="120" w:before="160"/>
      </w:pPr>
      <w:r>
        <w:t xml:space="preserve">1. POLICY — Governing Direction</w:t>
      </w:r>
    </w:p>
    <w:p>
      <w:pPr>
        <w:spacing w:after="120"/>
      </w:pPr>
      <w:r>
        <w:t xml:space="preserve">1.1 Purpose. To treat mental health as an occupational safety priority and provide support resources to reduce the risk of crisis and suicide in the construction workforce. 1.2 Scope. All MHC employees. 1.3 Authority. AGC Construction Industry Alliance for Suicide Prevention.</w:t>
      </w:r>
    </w:p>
    <w:p>
      <w:pPr>
        <w:pStyle w:val="Heading2"/>
        <w:spacing w:after="120" w:before="160"/>
      </w:pPr>
      <w:r>
        <w:t xml:space="preserve">2. PROCEDURE — Organizational Process</w:t>
      </w:r>
    </w:p>
    <w:p>
      <w:pPr>
        <w:spacing w:after="120"/>
      </w:pPr>
      <w:r>
        <w:t xml:space="preserve">2.1 EAP Integration. MHC provides an Employee Assistance Program (EAP) for confidential counseling. 2.2 Resource Visibility. The 988 Suicide &amp; Crisis Lifeline and EAP contact information must be posted on all physical safety boards and the digital Safety Dashboard. 2.3 Training. Site Safety Commanders shall receive annual mental health awareness training.</w:t>
      </w:r>
    </w:p>
    <w:p>
      <w:pPr>
        <w:pStyle w:val="Heading2"/>
        <w:spacing w:after="120" w:before="160"/>
      </w:pPr>
      <w:r>
        <w:t xml:space="preserve">3. TASK INSTRUCTIONS — Point-of-Work Action</w:t>
      </w:r>
    </w:p>
    <w:p>
      <w:pPr>
        <w:spacing w:after="120"/>
      </w:pPr>
      <w:r>
        <w:t xml:space="preserve">3.1 Prerequisites. None. 3.2 Crisis Response.</w:t>
      </w:r>
    </w:p>
    <w:p>
      <w:pPr>
        <w:spacing w:after="120"/>
      </w:pPr>
      <w:r>
        <w:t xml:space="preserve">• If a co-worker expresses intent to self-harm, do not leave them alone.</w:t>
      </w:r>
    </w:p>
    <w:p>
      <w:pPr>
        <w:spacing w:after="120"/>
      </w:pPr>
      <w:r>
        <w:t xml:space="preserve">• Call 988 or local emergency services immediately.</w:t>
      </w:r>
    </w:p>
    <w:p>
      <w:pPr>
        <w:spacing w:after="120"/>
      </w:pPr>
      <w:r>
        <w:t xml:space="preserve">• Notify the Site Safety Commander and Safety Command.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2026-07-28T15:21:32.750Z</dcterms:created>
  <dcterms:modified xsi:type="dcterms:W3CDTF">2026-07-28T15:21:32.750Z</dcterms:modified>
</cp:coreProperties>
</file>

<file path=docProps/custom.xml><?xml version="1.0" encoding="utf-8"?>
<Properties xmlns="http://schemas.openxmlformats.org/officeDocument/2006/custom-properties" xmlns:vt="http://schemas.openxmlformats.org/officeDocument/2006/docPropsVTypes"/>
</file>