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MISH 57 — Contractor Prequalification &amp; Safety Data Management</w:t>
      </w:r>
    </w:p>
    <w:p>
      <w:pPr>
        <w:spacing w:after="240"/>
      </w:pPr>
      <w:r>
        <w:t xml:space="preserve">Document Level: POLICY / PROCEDURE / TASK | Revision: 5.0</w:t>
      </w:r>
    </w:p>
    <w:p>
      <w:pPr>
        <w:pStyle w:val="Heading2"/>
        <w:spacing w:after="120" w:before="160"/>
      </w:pPr>
      <w:r>
        <w:t xml:space="preserve">1. POLICY — Governing Direction</w:t>
      </w:r>
    </w:p>
    <w:p>
      <w:pPr>
        <w:spacing w:after="120"/>
      </w:pPr>
      <w:r>
        <w:t xml:space="preserve">1.1 Purpose. To maintain MH Construction's readiness to qualify for enterprise-level contracts through platforms like ISNetworld, Avetta, and Highwire. 1.2 Scope. Applies to Safety Command and project bidding operations. 1.3 Authority. AGC Safety Team Audit Criteria.</w:t>
      </w:r>
    </w:p>
    <w:p>
      <w:pPr>
        <w:pStyle w:val="Heading2"/>
        <w:spacing w:after="120" w:before="160"/>
      </w:pPr>
      <w:r>
        <w:t xml:space="preserve">2. PROCEDURE — Organizational Process</w:t>
      </w:r>
    </w:p>
    <w:p>
      <w:pPr>
        <w:spacing w:after="120"/>
      </w:pPr>
      <w:r>
        <w:t xml:space="preserve">2.1 Safety Data Package (SDP). Safety Command shall maintain a current SDP containing:</w:t>
      </w:r>
    </w:p>
    <w:p>
      <w:pPr>
        <w:spacing w:after="120"/>
      </w:pPr>
      <w:r>
        <w:t xml:space="preserve">• The current MISH Program Manual (v5.0)</w:t>
      </w:r>
    </w:p>
    <w:p>
      <w:pPr>
        <w:spacing w:after="120"/>
      </w:pPr>
      <w:r>
        <w:t xml:space="preserve">• OSHA 300 logs for the past 3 years</w:t>
      </w:r>
    </w:p>
    <w:p>
      <w:pPr>
        <w:spacing w:after="120"/>
      </w:pPr>
      <w:r>
        <w:t xml:space="preserve">• Current EMR letter from Travelers Insurance</w:t>
      </w:r>
    </w:p>
    <w:p>
      <w:pPr>
        <w:spacing w:after="120"/>
      </w:pPr>
      <w:r>
        <w:t xml:space="preserve">• Key training matrices (Competent Person list) 2.2 Prequalification Maintenance. Safety Command is responsible for updating third-party prequalification platforms (e.g., ISNetworld) quarterly to ensure MHC remains in "Green" or "Approved" status.</w:t>
      </w:r>
    </w:p>
    <w:p>
      <w:pPr>
        <w:pStyle w:val="Heading2"/>
        <w:spacing w:after="120" w:before="160"/>
      </w:pPr>
      <w:r>
        <w:t xml:space="preserve">3. TASK INSTRUCTIONS — Point-of-Work Action</w:t>
      </w:r>
    </w:p>
    <w:p>
      <w:pPr>
        <w:spacing w:after="120"/>
      </w:pPr>
      <w:r>
        <w:t xml:space="preserve">3.1 Prerequisites. Project Managers must notify Safety Command of prequalification requirements during the bid phase. 3.2 SDP Assembly.</w:t>
      </w:r>
    </w:p>
    <w:p>
      <w:pPr>
        <w:spacing w:after="120"/>
      </w:pPr>
      <w:r>
        <w:t xml:space="preserve">• Verify the client's specific prequalification platform.</w:t>
      </w:r>
    </w:p>
    <w:p>
      <w:pPr>
        <w:spacing w:after="120"/>
      </w:pPr>
      <w:r>
        <w:t xml:space="preserve">• Download the current SDP from the Safety Dashboard.</w:t>
      </w:r>
    </w:p>
    <w:p>
      <w:pPr>
        <w:spacing w:after="120"/>
      </w:pPr>
      <w:r>
        <w:t xml:space="preserve">• Submit requested documentation prior to the bid deadline.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2026-07-28T15:21:32.800Z</dcterms:created>
  <dcterms:modified xsi:type="dcterms:W3CDTF">2026-07-28T15:21:32.800Z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