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MH CONSTRUCTION, INC.</w:t>
      </w:r>
    </w:p>
    <w:p>
      <w:pPr>
        <w:jc w:val="center"/>
      </w:pPr>
      <w:r>
        <w:rPr>
          <w:rFonts w:ascii="Arial" w:hAnsi="Arial"/>
          <w:sz w:val="22"/>
        </w:rPr>
        <w:t>Industrial Safety &amp; Health Program (MISH)</w:t>
      </w:r>
    </w:p>
    <w:p>
      <w:pPr>
        <w:jc w:val="center"/>
      </w:pPr>
      <w:r>
        <w:rPr>
          <w:rFonts w:ascii="Arial" w:hAnsi="Arial"/>
          <w:b/>
          <w:sz w:val="24"/>
        </w:rPr>
        <w:t>FORM-MISH-18 | Vehicle Pre-Trip Inspection Driver Log</w:t>
      </w:r>
    </w:p>
    <w:p>
      <w:pPr>
        <w:jc w:val="center"/>
      </w:pPr>
      <w:r>
        <w:rPr>
          <w:rFonts w:ascii="Arial" w:hAnsi="Arial"/>
          <w:sz w:val="20"/>
        </w:rPr>
        <w:t>Rev. 3 | Effective: 04/07/2026 | Safety Officer: Matt Ramsey</w:t>
      </w:r>
    </w:p>
    <w:p>
      <w:pPr>
        <w:pBdr>
          <w:bottom w:val="single" w:sz="6" w:space="1" w:color="000000"/>
        </w:pBdr>
      </w:pP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val="clear" w:color="auto" w:fill="F2F2F2"/>
          </w:tcPr>
          <w:p>
            <w:r>
              <w:rPr>
                <w:b/>
              </w:rPr>
              <w:t>Project Name / Number:</w:t>
            </w:r>
          </w:p>
        </w:tc>
        <w:tc>
          <w:tcPr>
            <w:tcW w:type="dxa" w:w="2250"/>
          </w:tcPr>
          <w:p>
            <w:r/>
          </w:p>
        </w:tc>
        <w:tc>
          <w:tcPr>
            <w:tcW w:type="dxa" w:w="2250"/>
            <w:shd w:val="clear" w:color="auto" w:fill="F2F2F2"/>
          </w:tcPr>
          <w:p>
            <w:r>
              <w:rPr>
                <w:b/>
              </w:rPr>
              <w:t>Job Site Address:</w:t>
            </w:r>
          </w:p>
        </w:tc>
        <w:tc>
          <w:tcPr>
            <w:tcW w:type="dxa" w:w="2250"/>
          </w:tcPr>
          <w:p>
            <w:r/>
          </w:p>
        </w:tc>
      </w:tr>
      <w:tr>
        <w:tc>
          <w:tcPr>
            <w:tcW w:type="dxa" w:w="2250"/>
            <w:shd w:val="clear" w:color="auto" w:fill="F2F2F2"/>
          </w:tcPr>
          <w:p>
            <w:r>
              <w:rPr>
                <w:b/>
              </w:rPr>
              <w:t>Date:</w:t>
            </w:r>
          </w:p>
        </w:tc>
        <w:tc>
          <w:tcPr>
            <w:tcW w:type="dxa" w:w="2250"/>
          </w:tcPr>
          <w:p>
            <w:r/>
          </w:p>
        </w:tc>
        <w:tc>
          <w:tcPr>
            <w:tcW w:type="dxa" w:w="2250"/>
            <w:shd w:val="clear" w:color="auto" w:fill="F2F2F2"/>
          </w:tcPr>
          <w:p>
            <w:r>
              <w:rPr>
                <w:b/>
              </w:rPr>
              <w:t>Supervisor / Foreman:</w:t>
            </w:r>
          </w:p>
        </w:tc>
        <w:tc>
          <w:tcPr>
            <w:tcW w:type="dxa" w:w="2250"/>
          </w:tcPr>
          <w:p>
            <w:r/>
          </w:p>
        </w:tc>
      </w:tr>
      <w:tr>
        <w:tc>
          <w:tcPr>
            <w:tcW w:type="dxa" w:w="2250"/>
            <w:shd w:val="clear" w:color="auto" w:fill="F2F2F2"/>
          </w:tcPr>
          <w:p>
            <w:r>
              <w:rPr>
                <w:b/>
              </w:rPr>
              <w:t>Employee Name(s):</w:t>
            </w:r>
          </w:p>
        </w:tc>
        <w:tc>
          <w:tcPr>
            <w:tcW w:type="dxa" w:w="2250"/>
          </w:tcPr>
          <w:p>
            <w:r/>
          </w:p>
        </w:tc>
        <w:tc>
          <w:tcPr>
            <w:tcW w:type="dxa" w:w="2250"/>
            <w:shd w:val="clear" w:color="auto" w:fill="F2F2F2"/>
          </w:tcPr>
          <w:p>
            <w:r>
              <w:rPr>
                <w:b/>
              </w:rPr>
              <w:t>Subcontractor:</w:t>
            </w:r>
          </w:p>
        </w:tc>
        <w:tc>
          <w:tcPr>
            <w:tcW w:type="dxa" w:w="2250"/>
          </w:tcPr>
          <w:p>
            <w:r/>
          </w:p>
        </w:tc>
      </w:tr>
    </w:tbl>
    <w:p/>
    <w:p>
      <w:r>
        <w:rPr>
          <w:b/>
        </w:rPr>
        <w:t xml:space="preserve">Inspection Frequency: </w:t>
      </w:r>
      <w:r>
        <w:t>Prior to each shift or trip as required by 29 CFR 1926.601(b)(14) and WAC 296-155-610(2)(j).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type="dxa" w:w="1500"/>
            <w:shd w:val="clear" w:color="auto" w:fill="D9D9D9"/>
          </w:tcPr>
          <w:p>
            <w:r>
              <w:rPr>
                <w:b/>
              </w:rPr>
              <w:t>Item #</w:t>
            </w:r>
          </w:p>
        </w:tc>
        <w:tc>
          <w:tcPr>
            <w:tcW w:type="dxa" w:w="1500"/>
            <w:shd w:val="clear" w:color="auto" w:fill="D9D9D9"/>
          </w:tcPr>
          <w:p>
            <w:r>
              <w:rPr>
                <w:b/>
              </w:rPr>
              <w:t>Inspection Item</w:t>
            </w:r>
          </w:p>
        </w:tc>
        <w:tc>
          <w:tcPr>
            <w:tcW w:type="dxa" w:w="1500"/>
            <w:shd w:val="clear" w:color="auto" w:fill="D9D9D9"/>
          </w:tcPr>
          <w:p>
            <w:r>
              <w:rPr>
                <w:b/>
              </w:rPr>
              <w:t>Pass</w:t>
            </w:r>
          </w:p>
        </w:tc>
        <w:tc>
          <w:tcPr>
            <w:tcW w:type="dxa" w:w="1500"/>
            <w:shd w:val="clear" w:color="auto" w:fill="D9D9D9"/>
          </w:tcPr>
          <w:p>
            <w:r>
              <w:rPr>
                <w:b/>
              </w:rPr>
              <w:t>Fail</w:t>
            </w:r>
          </w:p>
        </w:tc>
        <w:tc>
          <w:tcPr>
            <w:tcW w:type="dxa" w:w="1500"/>
            <w:shd w:val="clear" w:color="auto" w:fill="D9D9D9"/>
          </w:tcPr>
          <w:p>
            <w:r>
              <w:rPr>
                <w:b/>
              </w:rPr>
              <w:t>N/A</w:t>
            </w:r>
          </w:p>
        </w:tc>
        <w:tc>
          <w:tcPr>
            <w:tcW w:type="dxa" w:w="1500"/>
            <w:shd w:val="clear" w:color="auto" w:fill="D9D9D9"/>
          </w:tcPr>
          <w:p>
            <w:r>
              <w:rPr>
                <w:b/>
              </w:rPr>
              <w:t>Corrective Action Required</w:t>
            </w:r>
          </w:p>
        </w:tc>
      </w:tr>
      <w:tr>
        <w:tc>
          <w:tcPr>
            <w:tcW w:type="dxa" w:w="1500"/>
          </w:tcPr>
          <w:p>
            <w:r>
              <w:t>1</w:t>
            </w:r>
          </w:p>
        </w:tc>
        <w:tc>
          <w:tcPr>
            <w:tcW w:type="dxa" w:w="1500"/>
          </w:tcPr>
          <w:p>
            <w:r>
              <w:t>Fluid levels (oil, coolant, transmission, brake, power steering) (29 CFR 1926.601)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/>
          </w:p>
        </w:tc>
      </w:tr>
      <w:tr>
        <w:tc>
          <w:tcPr>
            <w:tcW w:type="dxa" w:w="1500"/>
          </w:tcPr>
          <w:p>
            <w:r>
              <w:t>2</w:t>
            </w:r>
          </w:p>
        </w:tc>
        <w:tc>
          <w:tcPr>
            <w:tcW w:type="dxa" w:w="1500"/>
          </w:tcPr>
          <w:p>
            <w:r>
              <w:t>Belts and hoses (condition and tension) (29 CFR 1926.601)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/>
          </w:p>
        </w:tc>
      </w:tr>
      <w:tr>
        <w:tc>
          <w:tcPr>
            <w:tcW w:type="dxa" w:w="1500"/>
          </w:tcPr>
          <w:p>
            <w:r>
              <w:t>3</w:t>
            </w:r>
          </w:p>
        </w:tc>
        <w:tc>
          <w:tcPr>
            <w:tcW w:type="dxa" w:w="1500"/>
          </w:tcPr>
          <w:p>
            <w:r>
              <w:t>Battery (terminals, cables, securement) (29 CFR 1926.601)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/>
          </w:p>
        </w:tc>
      </w:tr>
      <w:tr>
        <w:tc>
          <w:tcPr>
            <w:tcW w:type="dxa" w:w="1500"/>
          </w:tcPr>
          <w:p>
            <w:r>
              <w:t>4</w:t>
            </w:r>
          </w:p>
        </w:tc>
        <w:tc>
          <w:tcPr>
            <w:tcW w:type="dxa" w:w="1500"/>
          </w:tcPr>
          <w:p>
            <w:r>
              <w:t>Tires (tread depth, pressure, condition, lug nuts) (29 CFR 1926.601)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/>
          </w:p>
        </w:tc>
      </w:tr>
      <w:tr>
        <w:tc>
          <w:tcPr>
            <w:tcW w:type="dxa" w:w="1500"/>
          </w:tcPr>
          <w:p>
            <w:r>
              <w:t>5</w:t>
            </w:r>
          </w:p>
        </w:tc>
        <w:tc>
          <w:tcPr>
            <w:tcW w:type="dxa" w:w="1500"/>
          </w:tcPr>
          <w:p>
            <w:r>
              <w:t>Brakes (service, parking, trailer connections) (29 CFR 1926.601)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/>
          </w:p>
        </w:tc>
      </w:tr>
      <w:tr>
        <w:tc>
          <w:tcPr>
            <w:tcW w:type="dxa" w:w="1500"/>
          </w:tcPr>
          <w:p>
            <w:r>
              <w:t>6</w:t>
            </w:r>
          </w:p>
        </w:tc>
        <w:tc>
          <w:tcPr>
            <w:tcW w:type="dxa" w:w="1500"/>
          </w:tcPr>
          <w:p>
            <w:r>
              <w:t>Lights (headlights, taillights, brake, turn signals, clearance) (29 CFR 1926.601)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/>
          </w:p>
        </w:tc>
      </w:tr>
      <w:tr>
        <w:tc>
          <w:tcPr>
            <w:tcW w:type="dxa" w:w="1500"/>
          </w:tcPr>
          <w:p>
            <w:r>
              <w:t>7</w:t>
            </w:r>
          </w:p>
        </w:tc>
        <w:tc>
          <w:tcPr>
            <w:tcW w:type="dxa" w:w="1500"/>
          </w:tcPr>
          <w:p>
            <w:r>
              <w:t>Reflectors and reflective tape (29 CFR 1926.601)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/>
          </w:p>
        </w:tc>
      </w:tr>
      <w:tr>
        <w:tc>
          <w:tcPr>
            <w:tcW w:type="dxa" w:w="1500"/>
          </w:tcPr>
          <w:p>
            <w:r>
              <w:t>8</w:t>
            </w:r>
          </w:p>
        </w:tc>
        <w:tc>
          <w:tcPr>
            <w:tcW w:type="dxa" w:w="1500"/>
          </w:tcPr>
          <w:p>
            <w:r>
              <w:t>Windshield and windows (cracks, cleanliness) (29 CFR 1926.601)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/>
          </w:p>
        </w:tc>
      </w:tr>
      <w:tr>
        <w:tc>
          <w:tcPr>
            <w:tcW w:type="dxa" w:w="1500"/>
          </w:tcPr>
          <w:p>
            <w:r>
              <w:t>9</w:t>
            </w:r>
          </w:p>
        </w:tc>
        <w:tc>
          <w:tcPr>
            <w:tcW w:type="dxa" w:w="1500"/>
          </w:tcPr>
          <w:p>
            <w:r>
              <w:t>Wipers and washer fluid (29 CFR 1926.601)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/>
          </w:p>
        </w:tc>
      </w:tr>
      <w:tr>
        <w:tc>
          <w:tcPr>
            <w:tcW w:type="dxa" w:w="1500"/>
          </w:tcPr>
          <w:p>
            <w:r>
              <w:t>10</w:t>
            </w:r>
          </w:p>
        </w:tc>
        <w:tc>
          <w:tcPr>
            <w:tcW w:type="dxa" w:w="1500"/>
          </w:tcPr>
          <w:p>
            <w:r>
              <w:t>Mirrors (adjustment, condition) (29 CFR 1926.601)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/>
          </w:p>
        </w:tc>
      </w:tr>
      <w:tr>
        <w:tc>
          <w:tcPr>
            <w:tcW w:type="dxa" w:w="1500"/>
          </w:tcPr>
          <w:p>
            <w:r>
              <w:t>11</w:t>
            </w:r>
          </w:p>
        </w:tc>
        <w:tc>
          <w:tcPr>
            <w:tcW w:type="dxa" w:w="1500"/>
          </w:tcPr>
          <w:p>
            <w:r>
              <w:t>Horn and backup alarm (29 CFR 1926.601)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/>
          </w:p>
        </w:tc>
      </w:tr>
      <w:tr>
        <w:tc>
          <w:tcPr>
            <w:tcW w:type="dxa" w:w="1500"/>
          </w:tcPr>
          <w:p>
            <w:r>
              <w:t>12</w:t>
            </w:r>
          </w:p>
        </w:tc>
        <w:tc>
          <w:tcPr>
            <w:tcW w:type="dxa" w:w="1500"/>
          </w:tcPr>
          <w:p>
            <w:r>
              <w:t>Steering mechanism (play, binding) (29 CFR 1926.601)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/>
          </w:p>
        </w:tc>
      </w:tr>
      <w:tr>
        <w:tc>
          <w:tcPr>
            <w:tcW w:type="dxa" w:w="1500"/>
          </w:tcPr>
          <w:p>
            <w:r>
              <w:t>13</w:t>
            </w:r>
          </w:p>
        </w:tc>
        <w:tc>
          <w:tcPr>
            <w:tcW w:type="dxa" w:w="1500"/>
          </w:tcPr>
          <w:p>
            <w:r>
              <w:t>Seat belts (condition, operation) (29 CFR 1926.601)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/>
          </w:p>
        </w:tc>
      </w:tr>
      <w:tr>
        <w:tc>
          <w:tcPr>
            <w:tcW w:type="dxa" w:w="1500"/>
          </w:tcPr>
          <w:p>
            <w:r>
              <w:t>14</w:t>
            </w:r>
          </w:p>
        </w:tc>
        <w:tc>
          <w:tcPr>
            <w:tcW w:type="dxa" w:w="1500"/>
          </w:tcPr>
          <w:p>
            <w:r>
              <w:t>Fire extinguisher (charged, secured, inspected) (29 CFR 1926.601)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/>
          </w:p>
        </w:tc>
      </w:tr>
      <w:tr>
        <w:tc>
          <w:tcPr>
            <w:tcW w:type="dxa" w:w="1500"/>
          </w:tcPr>
          <w:p>
            <w:r>
              <w:t>15</w:t>
            </w:r>
          </w:p>
        </w:tc>
        <w:tc>
          <w:tcPr>
            <w:tcW w:type="dxa" w:w="1500"/>
          </w:tcPr>
          <w:p>
            <w:r>
              <w:t>First aid kit (stocked, accessible) (29 CFR 1926.601)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/>
          </w:p>
        </w:tc>
      </w:tr>
      <w:tr>
        <w:tc>
          <w:tcPr>
            <w:tcW w:type="dxa" w:w="1500"/>
          </w:tcPr>
          <w:p>
            <w:r>
              <w:t>16</w:t>
            </w:r>
          </w:p>
        </w:tc>
        <w:tc>
          <w:tcPr>
            <w:tcW w:type="dxa" w:w="1500"/>
          </w:tcPr>
          <w:p>
            <w:r>
              <w:t>Emergency equipment (triangles, flares, spare fuses) (29 CFR 1926.601)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/>
          </w:p>
        </w:tc>
      </w:tr>
      <w:tr>
        <w:tc>
          <w:tcPr>
            <w:tcW w:type="dxa" w:w="1500"/>
          </w:tcPr>
          <w:p>
            <w:r>
              <w:t>17</w:t>
            </w:r>
          </w:p>
        </w:tc>
        <w:tc>
          <w:tcPr>
            <w:tcW w:type="dxa" w:w="1500"/>
          </w:tcPr>
          <w:p>
            <w:r>
              <w:t>Coupling devices (fifth wheel, pintle hook, safety chains) (29 CFR 1926.601)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/>
          </w:p>
        </w:tc>
      </w:tr>
      <w:tr>
        <w:tc>
          <w:tcPr>
            <w:tcW w:type="dxa" w:w="1500"/>
          </w:tcPr>
          <w:p>
            <w:r>
              <w:t>18</w:t>
            </w:r>
          </w:p>
        </w:tc>
        <w:tc>
          <w:tcPr>
            <w:tcW w:type="dxa" w:w="1500"/>
          </w:tcPr>
          <w:p>
            <w:r>
              <w:t>Exhaust system (leaks, securement) (29 CFR 1926.601)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/>
          </w:p>
        </w:tc>
      </w:tr>
      <w:tr>
        <w:tc>
          <w:tcPr>
            <w:tcW w:type="dxa" w:w="1500"/>
          </w:tcPr>
          <w:p>
            <w:r>
              <w:t>19</w:t>
            </w:r>
          </w:p>
        </w:tc>
        <w:tc>
          <w:tcPr>
            <w:tcW w:type="dxa" w:w="1500"/>
          </w:tcPr>
          <w:p>
            <w:r>
              <w:t>Suspension (springs, shocks, air bags) (29 CFR 1926.601)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/>
          </w:p>
        </w:tc>
      </w:tr>
      <w:tr>
        <w:tc>
          <w:tcPr>
            <w:tcW w:type="dxa" w:w="1500"/>
          </w:tcPr>
          <w:p>
            <w:r>
              <w:t>20</w:t>
            </w:r>
          </w:p>
        </w:tc>
        <w:tc>
          <w:tcPr>
            <w:tcW w:type="dxa" w:w="1500"/>
          </w:tcPr>
          <w:p>
            <w:r>
              <w:t>Frame and body (cracks, damage, securement) (29 CFR 1926.601)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/>
          </w:p>
        </w:tc>
      </w:tr>
      <w:tr>
        <w:tc>
          <w:tcPr>
            <w:tcW w:type="dxa" w:w="1500"/>
          </w:tcPr>
          <w:p>
            <w:r>
              <w:t>21</w:t>
            </w:r>
          </w:p>
        </w:tc>
        <w:tc>
          <w:tcPr>
            <w:tcW w:type="dxa" w:w="1500"/>
          </w:tcPr>
          <w:p>
            <w:r>
              <w:t>Cargo securement (tie-downs, load distribution) (29 CFR 1926.601)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/>
          </w:p>
        </w:tc>
      </w:tr>
      <w:tr>
        <w:tc>
          <w:tcPr>
            <w:tcW w:type="dxa" w:w="1500"/>
          </w:tcPr>
          <w:p>
            <w:r>
              <w:t>22</w:t>
            </w:r>
          </w:p>
        </w:tc>
        <w:tc>
          <w:tcPr>
            <w:tcW w:type="dxa" w:w="1500"/>
          </w:tcPr>
          <w:p>
            <w:r>
              <w:t>Registration, insurance, and permits (in vehicle) (29 CFR 1926.601)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/>
          </w:p>
        </w:tc>
      </w:tr>
      <w:tr>
        <w:tc>
          <w:tcPr>
            <w:tcW w:type="dxa" w:w="1500"/>
          </w:tcPr>
          <w:p>
            <w:r>
              <w:t>23</w:t>
            </w:r>
          </w:p>
        </w:tc>
        <w:tc>
          <w:tcPr>
            <w:tcW w:type="dxa" w:w="1500"/>
          </w:tcPr>
          <w:p>
            <w:r>
              <w:t>Cab interior (cleanliness, loose items secured) (29 CFR 1926.601)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/>
          </w:p>
        </w:tc>
      </w:tr>
      <w:tr>
        <w:tc>
          <w:tcPr>
            <w:tcW w:type="dxa" w:w="1500"/>
          </w:tcPr>
          <w:p>
            <w:r>
              <w:t>24</w:t>
            </w:r>
          </w:p>
        </w:tc>
        <w:tc>
          <w:tcPr>
            <w:tcW w:type="dxa" w:w="1500"/>
          </w:tcPr>
          <w:p>
            <w:r>
              <w:t>Gauges and warning lights (operation) (29 CFR 1926.601)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/>
          </w:p>
        </w:tc>
      </w:tr>
      <w:tr>
        <w:tc>
          <w:tcPr>
            <w:tcW w:type="dxa" w:w="1500"/>
          </w:tcPr>
          <w:p>
            <w:r>
              <w:t>25</w:t>
            </w:r>
          </w:p>
        </w:tc>
        <w:tc>
          <w:tcPr>
            <w:tcW w:type="dxa" w:w="1500"/>
          </w:tcPr>
          <w:p>
            <w:r>
              <w:t>Heater and defroster (operation) (29 CFR 1926.601)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/>
          </w:p>
        </w:tc>
      </w:tr>
    </w:tbl>
    <w:p/>
    <w:p>
      <w:r>
        <w:rPr>
          <w:b/>
          <w:sz w:val="24"/>
        </w:rPr>
        <w:t>Deficiency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type="dxa" w:w="1500"/>
            <w:shd w:val="clear" w:color="auto" w:fill="D9D9D9"/>
          </w:tcPr>
          <w:p>
            <w:r>
              <w:rPr>
                <w:b/>
              </w:rPr>
              <w:t>Item #</w:t>
            </w:r>
          </w:p>
        </w:tc>
        <w:tc>
          <w:tcPr>
            <w:tcW w:type="dxa" w:w="1500"/>
            <w:shd w:val="clear" w:color="auto" w:fill="D9D9D9"/>
          </w:tcPr>
          <w:p>
            <w:r>
              <w:rPr>
                <w:b/>
              </w:rPr>
              <w:t>Description of Deficiency</w:t>
            </w:r>
          </w:p>
        </w:tc>
        <w:tc>
          <w:tcPr>
            <w:tcW w:type="dxa" w:w="1500"/>
            <w:shd w:val="clear" w:color="auto" w:fill="D9D9D9"/>
          </w:tcPr>
          <w:p>
            <w:r>
              <w:rPr>
                <w:b/>
              </w:rPr>
              <w:t>Corrective Action</w:t>
            </w:r>
          </w:p>
        </w:tc>
        <w:tc>
          <w:tcPr>
            <w:tcW w:type="dxa" w:w="1500"/>
            <w:shd w:val="clear" w:color="auto" w:fill="D9D9D9"/>
          </w:tcPr>
          <w:p>
            <w:r>
              <w:rPr>
                <w:b/>
              </w:rPr>
              <w:t>Assigned To</w:t>
            </w:r>
          </w:p>
        </w:tc>
        <w:tc>
          <w:tcPr>
            <w:tcW w:type="dxa" w:w="1500"/>
            <w:shd w:val="clear" w:color="auto" w:fill="D9D9D9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500"/>
            <w:shd w:val="clear" w:color="auto" w:fill="D9D9D9"/>
          </w:tcPr>
          <w:p>
            <w:r>
              <w:rPr>
                <w:b/>
              </w:rPr>
              <w:t>Completed Date</w:t>
            </w:r>
          </w:p>
        </w:tc>
      </w:tr>
      <w:tr>
        <w:tc>
          <w:tcPr>
            <w:tcW w:type="dxa" w:w="1500"/>
          </w:tcPr>
          <w:p>
            <w:r/>
          </w:p>
        </w:tc>
        <w:tc>
          <w:tcPr>
            <w:tcW w:type="dxa" w:w="1500"/>
          </w:tcPr>
          <w:p>
            <w:r/>
          </w:p>
        </w:tc>
        <w:tc>
          <w:tcPr>
            <w:tcW w:type="dxa" w:w="1500"/>
          </w:tcPr>
          <w:p>
            <w:r/>
          </w:p>
        </w:tc>
        <w:tc>
          <w:tcPr>
            <w:tcW w:type="dxa" w:w="1500"/>
          </w:tcPr>
          <w:p>
            <w:r/>
          </w:p>
        </w:tc>
        <w:tc>
          <w:tcPr>
            <w:tcW w:type="dxa" w:w="1500"/>
          </w:tcPr>
          <w:p>
            <w:r/>
          </w:p>
        </w:tc>
        <w:tc>
          <w:tcPr>
            <w:tcW w:type="dxa" w:w="1500"/>
          </w:tcPr>
          <w:p>
            <w:r/>
          </w:p>
        </w:tc>
      </w:tr>
      <w:tr>
        <w:tc>
          <w:tcPr>
            <w:tcW w:type="dxa" w:w="1500"/>
          </w:tcPr>
          <w:p>
            <w:r/>
          </w:p>
        </w:tc>
        <w:tc>
          <w:tcPr>
            <w:tcW w:type="dxa" w:w="1500"/>
          </w:tcPr>
          <w:p>
            <w:r/>
          </w:p>
        </w:tc>
        <w:tc>
          <w:tcPr>
            <w:tcW w:type="dxa" w:w="1500"/>
          </w:tcPr>
          <w:p>
            <w:r/>
          </w:p>
        </w:tc>
        <w:tc>
          <w:tcPr>
            <w:tcW w:type="dxa" w:w="1500"/>
          </w:tcPr>
          <w:p>
            <w:r/>
          </w:p>
        </w:tc>
        <w:tc>
          <w:tcPr>
            <w:tcW w:type="dxa" w:w="1500"/>
          </w:tcPr>
          <w:p>
            <w:r/>
          </w:p>
        </w:tc>
        <w:tc>
          <w:tcPr>
            <w:tcW w:type="dxa" w:w="1500"/>
          </w:tcPr>
          <w:p>
            <w:r/>
          </w:p>
        </w:tc>
      </w:tr>
      <w:tr>
        <w:tc>
          <w:tcPr>
            <w:tcW w:type="dxa" w:w="1500"/>
          </w:tcPr>
          <w:p>
            <w:r/>
          </w:p>
        </w:tc>
        <w:tc>
          <w:tcPr>
            <w:tcW w:type="dxa" w:w="1500"/>
          </w:tcPr>
          <w:p>
            <w:r/>
          </w:p>
        </w:tc>
        <w:tc>
          <w:tcPr>
            <w:tcW w:type="dxa" w:w="1500"/>
          </w:tcPr>
          <w:p>
            <w:r/>
          </w:p>
        </w:tc>
        <w:tc>
          <w:tcPr>
            <w:tcW w:type="dxa" w:w="1500"/>
          </w:tcPr>
          <w:p>
            <w:r/>
          </w:p>
        </w:tc>
        <w:tc>
          <w:tcPr>
            <w:tcW w:type="dxa" w:w="1500"/>
          </w:tcPr>
          <w:p>
            <w:r/>
          </w:p>
        </w:tc>
        <w:tc>
          <w:tcPr>
            <w:tcW w:type="dxa" w:w="1500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0"/>
        <w:gridCol w:w="3000"/>
        <w:gridCol w:w="3000"/>
      </w:tblGrid>
      <w:tr>
        <w:tc>
          <w:tcPr>
            <w:tcW w:type="dxa" w:w="3000"/>
            <w:shd w:val="clear" w:color="auto" w:fill="F2F2F2"/>
          </w:tcPr>
          <w:p>
            <w:r>
              <w:rPr>
                <w:b/>
              </w:rPr>
              <w:t>Inspector Name</w:t>
            </w:r>
          </w:p>
        </w:tc>
        <w:tc>
          <w:tcPr>
            <w:tcW w:type="dxa" w:w="3000"/>
            <w:shd w:val="clear" w:color="auto" w:fill="F2F2F2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3000"/>
            <w:shd w:val="clear" w:color="auto" w:fill="F2F2F2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3000"/>
          </w:tcPr>
          <w:p>
            <w:r/>
          </w:p>
        </w:tc>
        <w:tc>
          <w:tcPr>
            <w:tcW w:type="dxa" w:w="3000"/>
          </w:tcPr>
          <w:p>
            <w:r/>
          </w:p>
        </w:tc>
        <w:tc>
          <w:tcPr>
            <w:tcW w:type="dxa" w:w="3000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0"/>
        <w:gridCol w:w="3000"/>
        <w:gridCol w:w="3000"/>
      </w:tblGrid>
      <w:tr>
        <w:tc>
          <w:tcPr>
            <w:tcW w:type="dxa" w:w="3000"/>
            <w:shd w:val="clear" w:color="auto" w:fill="F2F2F2"/>
          </w:tcPr>
          <w:p>
            <w:r>
              <w:rPr>
                <w:b/>
              </w:rPr>
              <w:t>Supervisor Review</w:t>
            </w:r>
          </w:p>
        </w:tc>
        <w:tc>
          <w:tcPr>
            <w:tcW w:type="dxa" w:w="3000"/>
            <w:shd w:val="clear" w:color="auto" w:fill="F2F2F2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3000"/>
            <w:shd w:val="clear" w:color="auto" w:fill="F2F2F2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3000"/>
          </w:tcPr>
          <w:p>
            <w:r/>
          </w:p>
        </w:tc>
        <w:tc>
          <w:tcPr>
            <w:tcW w:type="dxa" w:w="3000"/>
          </w:tcPr>
          <w:p>
            <w:r/>
          </w:p>
        </w:tc>
        <w:tc>
          <w:tcPr>
            <w:tcW w:type="dxa" w:w="3000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val="clear" w:color="auto" w:fill="F2F2F2"/>
          </w:tcPr>
          <w:p>
            <w:r>
              <w:rPr>
                <w:b/>
              </w:rPr>
              <w:t>Regulatory Authority</w:t>
            </w:r>
          </w:p>
          <w:p>
            <w:r>
              <w:rPr>
                <w:b/>
              </w:rPr>
              <w:t xml:space="preserve">OSHA: </w:t>
            </w:r>
            <w:r>
              <w:t>29 CFR 1926 Subpart O; 29 CFR 1926.600 Equipment General; 29 CFR 1926.601 Motor Vehicles</w:t>
            </w:r>
          </w:p>
          <w:p>
            <w:r>
              <w:rPr>
                <w:b/>
              </w:rPr>
              <w:t xml:space="preserve">WISHA: </w:t>
            </w:r>
            <w:r>
              <w:t>WAC 296-155-600 Definitions; WAC 296-155-610 Motor Vehicles on Construction Sites</w:t>
            </w:r>
          </w:p>
          <w:p>
            <w:r>
              <w:rPr>
                <w:b/>
              </w:rPr>
              <w:t xml:space="preserve">AGC: </w:t>
            </w:r>
            <w:r>
              <w:t>Safety and Health Manual Ch. 13 Motor Vehicles and Equipment</w:t>
            </w:r>
          </w:p>
          <w:p>
            <w:r>
              <w:t>This form supports compliance with the above regulations. Retain completed forms for minimum 3 years per 29 CFR 1904.33 and WAC 296-27.</w:t>
            </w:r>
          </w:p>
        </w:tc>
      </w:tr>
    </w:tbl>
    <w:p/>
    <w:p>
      <w:r>
        <w:t>Prepared by: ________________________ | Title: ________________________ | Date: ________________________</w:t>
      </w:r>
    </w:p>
    <w:p>
      <w:r>
        <w:t>Reviewed by: ________________________ | Title: ________________________ | Date: ________________________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E8985D2-FA58-450A-A315-491DA82DF4CF}"/>
</file>

<file path=customXml/itemProps3.xml><?xml version="1.0" encoding="utf-8"?>
<ds:datastoreItem xmlns:ds="http://schemas.openxmlformats.org/officeDocument/2006/customXml" ds:itemID="{332BF909-341F-4FC7-BB4A-6FC13CC70955}"/>
</file>

<file path=customXml/itemProps4.xml><?xml version="1.0" encoding="utf-8"?>
<ds:datastoreItem xmlns:ds="http://schemas.openxmlformats.org/officeDocument/2006/customXml" ds:itemID="{2C137AF5-199F-4034-827E-15FD0033504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