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31 | Miscellaneous Construction Requirements</w:t>
      </w:r>
    </w:p>
    <w:p>
      <w:pPr>
        <w:jc w:val="center"/>
      </w:pPr>
      <w:r>
        <w:t>Revision 3 | Effective: 04/07/2026 | Safety Officer: Matt Ramsey</w:t>
      </w:r>
    </w:p>
    <w:p>
      <w:r>
        <w:t>──────────────────────────────────────────────────────────────────────</w:t>
      </w:r>
    </w:p>
    <w:p>
      <w:pPr>
        <w:pStyle w:val="Heading1Custom"/>
      </w:pPr>
      <w:r>
        <w:t>Regulatory Authority</w:t>
      </w:r>
    </w:p>
    <w:tbl>
      <w:tblPr>
        <w:tblW w:type="auto" w:w="0"/>
        <w:tblLayout w:type="autofit"/>
        <w:tblLook w:firstColumn="1" w:firstRow="1" w:lastColumn="0" w:lastRow="0" w:noHBand="0" w:noVBand="1" w:val="04A0"/>
      </w:tblPr>
      <w:tblGrid>
        <w:gridCol w:w="2160"/>
        <w:gridCol w:w="3600"/>
        <w:gridCol w:w="576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2160"/>
          </w:tcPr>
          <w:p>
            <w:r>
              <w:t>OSHA</w:t>
            </w:r>
          </w:p>
        </w:tc>
        <w:tc>
          <w:tcPr>
            <w:tcW w:type="dxa" w:w="3600"/>
          </w:tcPr>
          <w:p>
            <w:r>
              <w:t>29 CFR</w:t>
            </w:r>
          </w:p>
        </w:tc>
        <w:tc>
          <w:tcPr>
            <w:tcW w:type="dxa" w:w="5760"/>
          </w:tcPr>
          <w:p>
            <w:r>
              <w:t>1926 Subpart C</w:t>
            </w:r>
          </w:p>
        </w:tc>
      </w:tr>
      <w:tr>
        <w:tc>
          <w:tcPr>
            <w:tcW w:type="dxa" w:w="2160"/>
          </w:tcPr>
          <w:p>
            <w:r>
              <w:t>OSHA</w:t>
            </w:r>
          </w:p>
        </w:tc>
        <w:tc>
          <w:tcPr>
            <w:tcW w:type="dxa" w:w="3600"/>
          </w:tcPr>
          <w:p>
            <w:r>
              <w:t>29 CFR</w:t>
            </w:r>
          </w:p>
        </w:tc>
        <w:tc>
          <w:tcPr>
            <w:tcW w:type="dxa" w:w="5760"/>
          </w:tcPr>
          <w:p>
            <w:r>
              <w:t>1926.50 Medical Services and First Aid</w:t>
            </w:r>
          </w:p>
        </w:tc>
      </w:tr>
      <w:tr>
        <w:tc>
          <w:tcPr>
            <w:tcW w:type="dxa" w:w="2160"/>
          </w:tcPr>
          <w:p>
            <w:r>
              <w:t>OSHA</w:t>
            </w:r>
          </w:p>
        </w:tc>
        <w:tc>
          <w:tcPr>
            <w:tcW w:type="dxa" w:w="3600"/>
          </w:tcPr>
          <w:p>
            <w:r>
              <w:t>29 CFR</w:t>
            </w:r>
          </w:p>
        </w:tc>
        <w:tc>
          <w:tcPr>
            <w:tcW w:type="dxa" w:w="5760"/>
          </w:tcPr>
          <w:p>
            <w:r>
              <w:t>1926.51 Sanitation</w:t>
            </w:r>
          </w:p>
        </w:tc>
      </w:tr>
      <w:tr>
        <w:tc>
          <w:tcPr>
            <w:tcW w:type="dxa" w:w="2160"/>
          </w:tcPr>
          <w:p>
            <w:r>
              <w:t>OSHA</w:t>
            </w:r>
          </w:p>
        </w:tc>
        <w:tc>
          <w:tcPr>
            <w:tcW w:type="dxa" w:w="3600"/>
          </w:tcPr>
          <w:p>
            <w:r>
              <w:t>29 CFR</w:t>
            </w:r>
          </w:p>
        </w:tc>
        <w:tc>
          <w:tcPr>
            <w:tcW w:type="dxa" w:w="5760"/>
          </w:tcPr>
          <w:p>
            <w:r>
              <w:t>1926.52 Occupational Noise Exposure</w:t>
            </w:r>
          </w:p>
        </w:tc>
      </w:tr>
      <w:tr>
        <w:tc>
          <w:tcPr>
            <w:tcW w:type="dxa" w:w="2160"/>
          </w:tcPr>
          <w:p>
            <w:r>
              <w:t>WISHA</w:t>
            </w:r>
          </w:p>
        </w:tc>
        <w:tc>
          <w:tcPr>
            <w:tcW w:type="dxa" w:w="3600"/>
          </w:tcPr>
          <w:p>
            <w:r>
              <w:t>WAC 296-155-120</w:t>
            </w:r>
          </w:p>
        </w:tc>
        <w:tc>
          <w:tcPr>
            <w:tcW w:type="dxa" w:w="5760"/>
          </w:tcPr>
          <w:p>
            <w:r>
              <w:t>First-Aid Training</w:t>
            </w:r>
          </w:p>
        </w:tc>
      </w:tr>
      <w:tr>
        <w:tc>
          <w:tcPr>
            <w:tcW w:type="dxa" w:w="2160"/>
          </w:tcPr>
          <w:p>
            <w:r>
              <w:t>WISHA</w:t>
            </w:r>
          </w:p>
        </w:tc>
        <w:tc>
          <w:tcPr>
            <w:tcW w:type="dxa" w:w="3600"/>
          </w:tcPr>
          <w:p>
            <w:r>
              <w:t>WAC 296-155-125</w:t>
            </w:r>
          </w:p>
        </w:tc>
        <w:tc>
          <w:tcPr>
            <w:tcW w:type="dxa" w:w="5760"/>
          </w:tcPr>
          <w:p>
            <w:r>
              <w:t>First-Aid Supplies</w:t>
            </w:r>
          </w:p>
        </w:tc>
      </w:tr>
      <w:tr>
        <w:tc>
          <w:tcPr>
            <w:tcW w:type="dxa" w:w="2160"/>
          </w:tcPr>
          <w:p>
            <w:r>
              <w:t>WISHA</w:t>
            </w:r>
          </w:p>
        </w:tc>
        <w:tc>
          <w:tcPr>
            <w:tcW w:type="dxa" w:w="3600"/>
          </w:tcPr>
          <w:p>
            <w:r>
              <w:t>WAC 296-155-130</w:t>
            </w:r>
          </w:p>
        </w:tc>
        <w:tc>
          <w:tcPr>
            <w:tcW w:type="dxa" w:w="5760"/>
          </w:tcPr>
          <w:p>
            <w:r>
              <w:t>First-Aid Station</w:t>
            </w:r>
          </w:p>
        </w:tc>
      </w:tr>
      <w:tr>
        <w:tc>
          <w:tcPr>
            <w:tcW w:type="dxa" w:w="2160"/>
          </w:tcPr>
          <w:p>
            <w:r>
              <w:t>WISHA</w:t>
            </w:r>
          </w:p>
        </w:tc>
        <w:tc>
          <w:tcPr>
            <w:tcW w:type="dxa" w:w="3600"/>
          </w:tcPr>
          <w:p>
            <w:r>
              <w:t>WAC 296-155-140</w:t>
            </w:r>
          </w:p>
        </w:tc>
        <w:tc>
          <w:tcPr>
            <w:tcW w:type="dxa" w:w="5760"/>
          </w:tcPr>
          <w:p>
            <w:r>
              <w:t>Sanitation</w:t>
            </w:r>
          </w:p>
        </w:tc>
      </w:tr>
      <w:tr>
        <w:tc>
          <w:tcPr>
            <w:tcW w:type="dxa" w:w="2160"/>
          </w:tcPr>
          <w:p>
            <w:r>
              <w:t>WISHA</w:t>
            </w:r>
          </w:p>
        </w:tc>
        <w:tc>
          <w:tcPr>
            <w:tcW w:type="dxa" w:w="3600"/>
          </w:tcPr>
          <w:p>
            <w:r>
              <w:t>WAC 296-155-145</w:t>
            </w:r>
          </w:p>
        </w:tc>
        <w:tc>
          <w:tcPr>
            <w:tcW w:type="dxa" w:w="5760"/>
          </w:tcPr>
          <w:p>
            <w:r>
              <w:t>Occupational Noise Exposure</w:t>
            </w:r>
          </w:p>
        </w:tc>
      </w:tr>
      <w:tr>
        <w:tc>
          <w:tcPr>
            <w:tcW w:type="dxa" w:w="2160"/>
          </w:tcPr>
          <w:p>
            <w:r>
              <w:t>AGC</w:t>
            </w:r>
          </w:p>
        </w:tc>
        <w:tc>
          <w:tcPr>
            <w:tcW w:type="dxa" w:w="3600"/>
          </w:tcPr>
          <w:p>
            <w:r/>
          </w:p>
        </w:tc>
        <w:tc>
          <w:tcPr>
            <w:tcW w:type="dxa" w:w="5760"/>
          </w:tcPr>
          <w:p>
            <w:r>
              <w:t>Jobsite Safety Handbook</w:t>
            </w:r>
          </w:p>
        </w:tc>
      </w:tr>
    </w:tbl>
    <w:p>
      <w:pPr>
        <w:pStyle w:val="Heading1Custom"/>
      </w:pPr>
      <w:r>
        <w:t>Purpose</w:t>
      </w:r>
    </w:p>
    <w:p>
      <w:r>
        <w:t>This policy establishes guidelines for miscellaneous construction requirements to ensure a safe and healthy work environment. It protects against common jobsite hazards and promotes compliance with federal and state safety regulations.</w:t>
      </w:r>
    </w:p>
    <w:p>
      <w:pPr>
        <w:pStyle w:val="Heading1Custom"/>
      </w:pPr>
      <w:r>
        <w:t>Scope</w:t>
      </w:r>
    </w:p>
    <w:p>
      <w:r>
        <w:t>This policy applies to all MH Construction, Inc. employees, subcontractors, and visitors present on any MH Construction job site.</w:t>
      </w:r>
    </w:p>
    <w:p>
      <w:pPr>
        <w:pStyle w:val="Heading1Custom"/>
      </w:pPr>
      <w:r>
        <w:t>Definitions</w:t>
      </w:r>
    </w:p>
    <w:tbl>
      <w:tblPr>
        <w:tblW w:type="auto" w:w="0"/>
        <w:tblLayout w:type="autofit"/>
        <w:tblLook w:firstColumn="1" w:firstRow="1" w:lastColumn="0" w:lastRow="0" w:noHBand="0" w:noVBand="1" w:val="04A0"/>
      </w:tblPr>
      <w:tblGrid>
        <w:gridCol w:w="2880"/>
        <w:gridCol w:w="864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2880"/>
          </w:tcPr>
          <w:p>
            <w:r>
              <w:t>Competent Person</w:t>
            </w:r>
          </w:p>
        </w:tc>
        <w:tc>
          <w:tcPr>
            <w:tcW w:type="dxa" w:w="864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2880"/>
          </w:tcPr>
          <w:p>
            <w:r>
              <w:t>First Aid</w:t>
            </w:r>
          </w:p>
        </w:tc>
        <w:tc>
          <w:tcPr>
            <w:tcW w:type="dxa" w:w="8640"/>
          </w:tcPr>
          <w:p>
            <w:r>
              <w:t>Emergency care or treatment given to an ill or injured person before regular medical aid can be obtained.</w:t>
            </w:r>
          </w:p>
        </w:tc>
      </w:tr>
      <w:tr>
        <w:tc>
          <w:tcPr>
            <w:tcW w:type="dxa" w:w="2880"/>
          </w:tcPr>
          <w:p>
            <w:r>
              <w:t>Sanitation</w:t>
            </w:r>
          </w:p>
        </w:tc>
        <w:tc>
          <w:tcPr>
            <w:tcW w:type="dxa" w:w="8640"/>
          </w:tcPr>
          <w:p>
            <w:r>
              <w:t>Measures taken to protect public health, including the provision of clean drinking water, adequate sewage disposal, and proper hygiene facilities.</w:t>
            </w:r>
          </w:p>
        </w:tc>
      </w:tr>
      <w:tr>
        <w:tc>
          <w:tcPr>
            <w:tcW w:type="dxa" w:w="2880"/>
          </w:tcPr>
          <w:p>
            <w:r>
              <w:t>Noise Exposure</w:t>
            </w:r>
          </w:p>
        </w:tc>
        <w:tc>
          <w:tcPr>
            <w:tcW w:type="dxa" w:w="8640"/>
          </w:tcPr>
          <w:p>
            <w:r>
              <w:t>The level and duration of sound that a worker is subjected to, which can potentially cause hearing damage if not properly controlled.</w:t>
            </w:r>
          </w:p>
        </w:tc>
      </w:tr>
      <w:tr>
        <w:tc>
          <w:tcPr>
            <w:tcW w:type="dxa" w:w="2880"/>
          </w:tcPr>
          <w:p>
            <w:r>
              <w:t>Jobsite</w:t>
            </w:r>
          </w:p>
        </w:tc>
        <w:tc>
          <w:tcPr>
            <w:tcW w:type="dxa" w:w="8640"/>
          </w:tcPr>
          <w:p>
            <w:r>
              <w:t>Any location where MH Construction, Inc. or its subcontractors are performing work.</w:t>
            </w:r>
          </w:p>
        </w:tc>
      </w:tr>
    </w:tbl>
    <w:p>
      <w:pPr>
        <w:pStyle w:val="Heading1Custom"/>
      </w:pPr>
      <w:r>
        <w:t>Responsibilities</w:t>
      </w:r>
    </w:p>
    <w:p>
      <w:pPr>
        <w:pStyle w:val="Heading2Custom"/>
      </w:pPr>
      <w:r>
        <w:t>Company/Management Responsibilities</w:t>
      </w:r>
    </w:p>
    <w:p>
      <w:pPr>
        <w:pStyle w:val="ListBullet"/>
      </w:pPr>
      <w:r>
        <w:t>Provide and maintain a safe work environment in compliance with all applicable OSHA and WISHA regulations.</w:t>
      </w:r>
    </w:p>
    <w:p>
      <w:pPr>
        <w:pStyle w:val="ListBullet"/>
      </w:pPr>
      <w:r>
        <w:t>Ensure adequate resources are available for safety training, equipment, and first aid supplies.</w:t>
      </w:r>
    </w:p>
    <w:p>
      <w:pPr>
        <w:pStyle w:val="ListBullet"/>
      </w:pPr>
      <w:r>
        <w:t>Establish and enforce disciplinary actions for safety violations.</w:t>
      </w:r>
    </w:p>
    <w:p>
      <w:pPr>
        <w:pStyle w:val="Heading2Custom"/>
      </w:pPr>
      <w:r>
        <w:t>Supervisor/Foreman Responsibilities</w:t>
      </w:r>
    </w:p>
    <w:p>
      <w:pPr>
        <w:pStyle w:val="ListBullet"/>
      </w:pPr>
      <w:r>
        <w:t>Conduct regular job site inspections to identify and correct hazards.</w:t>
      </w:r>
    </w:p>
    <w:p>
      <w:pPr>
        <w:pStyle w:val="ListBullet"/>
      </w:pPr>
      <w:r>
        <w:t>Ensure all employees and subcontractors understand and follow safety procedures.</w:t>
      </w:r>
    </w:p>
    <w:p>
      <w:pPr>
        <w:pStyle w:val="ListBullet"/>
      </w:pPr>
      <w:r>
        <w:t>Provide immediate first aid for injuries and ensure proper medical attention is sought when necessary.</w:t>
      </w:r>
    </w:p>
    <w:p>
      <w:pPr>
        <w:pStyle w:val="ListBullet"/>
      </w:pPr>
      <w:r>
        <w:t>Enforce company safety policies and regulatory requirements.</w:t>
      </w:r>
    </w:p>
    <w:p>
      <w:pPr>
        <w:pStyle w:val="Heading2Custom"/>
      </w:pPr>
      <w:r>
        <w:t>Employee Responsibilities</w:t>
      </w:r>
    </w:p>
    <w:p>
      <w:pPr>
        <w:pStyle w:val="ListBullet"/>
      </w:pPr>
      <w:r>
        <w:t>Comply with all established safety rules, policies, and procedures.</w:t>
      </w:r>
    </w:p>
    <w:p>
      <w:pPr>
        <w:pStyle w:val="ListBullet"/>
      </w:pPr>
      <w:r>
        <w:t>Report all unsafe conditions, hazards, and incidents to their supervisor immediately.</w:t>
      </w:r>
    </w:p>
    <w:p>
      <w:pPr>
        <w:pStyle w:val="ListBullet"/>
      </w:pPr>
      <w:r>
        <w:t>Use all provided safety equipment and personal protective equipment (PPE) correctly.</w:t>
      </w:r>
    </w:p>
    <w:p>
      <w:pPr>
        <w:pStyle w:val="Heading2Custom"/>
      </w:pPr>
      <w:r>
        <w:t>Subcontractor Responsibilities</w:t>
      </w:r>
    </w:p>
    <w:p>
      <w:pPr>
        <w:pStyle w:val="ListBullet"/>
      </w:pPr>
      <w:r>
        <w:t>Adhere to all MH Construction, Inc. safety policies and procedures, as well as all applicable OSHA and WISHA regulations.</w:t>
      </w:r>
    </w:p>
    <w:p>
      <w:pPr>
        <w:pStyle w:val="ListBullet"/>
      </w:pPr>
      <w:r>
        <w:t>Provide their employees with necessary safety training and equipment.</w:t>
      </w:r>
    </w:p>
    <w:p>
      <w:pPr>
        <w:pStyle w:val="ListBullet"/>
      </w:pPr>
      <w:r>
        <w:t>Coordinate all safety-related activities with the MH Construction, Inc. supervisor or foreman.</w:t>
      </w:r>
    </w:p>
    <w:p>
      <w:pPr>
        <w:pStyle w:val="Heading1Custom"/>
      </w:pPr>
      <w:r>
        <w:t>Procedures / Requirements</w:t>
      </w:r>
    </w:p>
    <w:p>
      <w:pPr>
        <w:pStyle w:val="Heading2Custom"/>
      </w:pPr>
      <w:r>
        <w:t>7.1 Medical Services and First Aid</w:t>
      </w:r>
    </w:p>
    <w:p>
      <w:pPr>
        <w:pStyle w:val="ListNumber"/>
      </w:pPr>
      <w:r>
        <w:t>A suitable number of employees must be trained in first aid. Per 29 CFR 1926.50(c) and WAC 296-155-120, at least one employee must be adequately trained to render first aid.</w:t>
      </w:r>
    </w:p>
    <w:p>
      <w:pPr>
        <w:pStyle w:val="ListNumber"/>
      </w:pPr>
      <w:r>
        <w:t>Adequate first-aid supplies must be readily available at all worksites. Per 29 CFR 1926.50(d) and WAC 296-155-125, these supplies must be approved by a consulting physician and regularly inspected.</w:t>
      </w:r>
    </w:p>
    <w:p>
      <w:pPr>
        <w:pStyle w:val="ListNumber"/>
      </w:pPr>
      <w:r>
        <w:t>For larger projects or those in remote areas, a first-aid station with a qualified person must be established. Per WAC 296-155-130, this station must be clearly identified and accessible.</w:t>
      </w:r>
    </w:p>
    <w:p>
      <w:pPr>
        <w:pStyle w:val="Heading2Custom"/>
      </w:pPr>
      <w:r>
        <w:t>7.2 Sanitation</w:t>
      </w:r>
    </w:p>
    <w:p>
      <w:pPr>
        <w:pStyle w:val="ListNumber"/>
      </w:pPr>
      <w:r>
        <w:t>Potable water must be provided for drinking, washing, and cooking. Per 29 CFR 1926.51(a) and WAC 296-155-140(1), it must meet public health standards.</w:t>
      </w:r>
    </w:p>
    <w:p>
      <w:pPr>
        <w:pStyle w:val="ListNumber"/>
      </w:pPr>
      <w:r>
        <w:t>Non-potable water, if used, must be clearly marked and not used for hygiene or consumption. Per 29 CFR 1926.51(b).</w:t>
      </w:r>
    </w:p>
    <w:p>
      <w:pPr>
        <w:pStyle w:val="ListNumber"/>
      </w:pPr>
      <w:r>
        <w:t>Adequate toilet facilities must be provided for all employees. Per 29 CFR 1926.51(c) and WAC 296-155-140(2), these facilities must be maintained in a sanitary condition.</w:t>
      </w:r>
    </w:p>
    <w:p>
      <w:pPr>
        <w:pStyle w:val="ListNumber"/>
      </w:pPr>
      <w:r>
        <w:t>Washing facilities must be available for employees. Per 29 CFR 1926.51(f) and WAC 296-155-140(5), these should include soap and water or suitable cleansing agents.</w:t>
      </w:r>
    </w:p>
    <w:p>
      <w:pPr>
        <w:pStyle w:val="Heading2Custom"/>
      </w:pPr>
      <w:r>
        <w:t>7.3 Occupational Noise Exposure</w:t>
      </w:r>
    </w:p>
    <w:p>
      <w:pPr>
        <w:pStyle w:val="ListNumber"/>
      </w:pPr>
      <w:r>
        <w:t>Exposure to noise must be controlled to prevent hearing loss. Per 29 CFR 1926.52 and WAC 296-155-145, engineering or administrative controls must be implemented when sound levels exceed permissible exposure limits.</w:t>
      </w:r>
    </w:p>
    <w:p>
      <w:pPr>
        <w:pStyle w:val="ListNumber"/>
      </w:pPr>
      <w:r>
        <w:t>When controls are insufficient, personal protective equipment (PPE) such as earplugs or earmuffs must be provided and used. Per 29 CFR 1926.52(b) and WAC 296-155-145(2).</w:t>
      </w:r>
    </w:p>
    <w:p>
      <w:pPr>
        <w:pStyle w:val="ListNumber"/>
      </w:pPr>
      <w:r>
        <w:t>A hearing conservation program must be implemented for employees exposed to noise at or above an 8-hour time-weighted average of 85 dBA. Per WAC 296-155-145(3).</w:t>
      </w:r>
    </w:p>
    <w:p>
      <w:pPr>
        <w:pStyle w:val="Heading2Custom"/>
      </w:pPr>
      <w:r>
        <w:t>7.4 Housekeeping</w:t>
      </w:r>
    </w:p>
    <w:p>
      <w:pPr>
        <w:pStyle w:val="ListNumber"/>
      </w:pPr>
      <w:r>
        <w:t>Work areas, passageways, and stairs shall be kept clear of obstructions and debris to prevent slips, trips, and falls. Per AGC Jobsite Safety Handbook.</w:t>
      </w:r>
    </w:p>
    <w:p>
      <w:pPr>
        <w:pStyle w:val="ListNumber"/>
      </w:pPr>
      <w:r>
        <w:t>Waste materials shall be removed regularly and disposed of in appropriate containers to maintain a safe and sanitary work environment.</w:t>
      </w:r>
    </w:p>
    <w:p>
      <w:pPr>
        <w:pStyle w:val="Heading2Custom"/>
      </w:pPr>
      <w:r>
        <w:t>7.5 Fire Prevention and Protection</w:t>
      </w:r>
    </w:p>
    <w:p>
      <w:pPr>
        <w:pStyle w:val="ListNumber"/>
      </w:pPr>
      <w:r>
        <w:t>Fire extinguishers shall be provided and maintained in accessible locations. Employees must be trained in their proper use. Per 29 CFR 1926 Subpart C.</w:t>
      </w:r>
    </w:p>
    <w:p>
      <w:pPr>
        <w:pStyle w:val="ListNumber"/>
      </w:pPr>
      <w:r>
        <w:t>Flammable and combustible materials shall be stored in approved containers and designated areas, away from ignition sources.</w:t>
      </w:r>
    </w:p>
    <w:p>
      <w:pPr>
        <w:pStyle w:val="Heading2Custom"/>
      </w:pPr>
      <w:r>
        <w:t>7.6 Personal Protective Equipment (PPE)</w:t>
      </w:r>
    </w:p>
    <w:p>
      <w:pPr>
        <w:pStyle w:val="ListNumber"/>
      </w:pPr>
      <w:r>
        <w:t>Appropriate PPE, such as hard hats, safety glasses, and high-visibility vests, shall be worn by all personnel on the jobsite as required by task and site conditions. Per 29 CFR 1926 Subpart C.</w:t>
      </w:r>
    </w:p>
    <w:p>
      <w:pPr>
        <w:pStyle w:val="ListNumber"/>
      </w:pPr>
      <w:r>
        <w:t>Employees must be trained on the proper use, care, and maintenance of their assigned PPE.</w:t>
      </w:r>
    </w:p>
    <w:p>
      <w:pPr>
        <w:pStyle w:val="Heading1Custom"/>
      </w:pPr>
      <w:r>
        <w:t>Training Requirements</w:t>
      </w:r>
    </w:p>
    <w:p>
      <w:r>
        <w:t>All employees whose work involves potential exposure to hazards covered in this section must receive initial and periodic refresher training. Training will cover proper first aid procedures (WAC 296-155-120), sanitation practices, and hearing conservation (WAC 296-155-145). Training records, including dates, attendees, and topics covered, will be maintained by the Safety Officer.</w:t>
      </w:r>
    </w:p>
    <w:p>
      <w:pPr>
        <w:pStyle w:val="Heading1Custom"/>
      </w:pPr>
      <w:r>
        <w:t>Inspection and Enforcement</w:t>
      </w:r>
    </w:p>
    <w:p>
      <w:r>
        <w:t>Supervisors and foremen will conduct daily informal inspections, and the Safety Officer will conduct weekly formal inspections to ensure compliance with this policy and all applicable regulations. Any identified deficiencies will be documented, and corrective actions will be implemented promptly. Non-compliance will result in enforcement actions as outlined in the company's disciplinary policy.</w:t>
      </w:r>
    </w:p>
    <w:p>
      <w:pPr>
        <w:pStyle w:val="Heading1Custom"/>
      </w:pPr>
      <w:r>
        <w:t>Recordkeeping</w:t>
      </w:r>
    </w:p>
    <w:p>
      <w:r>
        <w:t>The following records will be maintained by the Safety Officer for a minimum of five years: first aid training records, first aid supply inspection logs, noise exposure monitoring results, and inspection reports. These records will be made available upon request by regulatory agencies.</w:t>
      </w:r>
    </w:p>
    <w:p>
      <w:pPr>
        <w:pStyle w:val="Heading1Custom"/>
      </w:pPr>
      <w:r>
        <w:t>Violation Consequences</w:t>
      </w:r>
    </w:p>
    <w:p>
      <w:r>
        <w:t>Violations of this policy or any applicable safety regulation will result in progressive disciplinary action, up to and including termination of employment or contract. The severity of the disciplinary action will depend on the nature and gravity of the violation, as well as any prior infractions.</w:t>
      </w:r>
    </w:p>
    <w:p>
      <w:pPr>
        <w:pStyle w:val="Heading1Custom"/>
      </w:pPr>
      <w:r>
        <w:t>References</w:t>
      </w:r>
    </w:p>
    <w:p>
      <w:r>
        <w:t>AGC: Jobsite Safety Handbook</w:t>
      </w:r>
    </w:p>
    <w:p>
      <w:r>
        <w:t>OSHA: 29 CFR 1926 Subpart C</w:t>
      </w:r>
    </w:p>
    <w:p>
      <w:r>
        <w:t>OSHA: 29 CFR 1926.50 Medical Services and First Aid</w:t>
      </w:r>
    </w:p>
    <w:p>
      <w:r>
        <w:t>OSHA: 29 CFR 1926.51 Sanitation</w:t>
      </w:r>
    </w:p>
    <w:p>
      <w:r>
        <w:t>OSHA: 29 CFR 1926.52 Occupational Noise Exposure</w:t>
      </w:r>
    </w:p>
    <w:p>
      <w:r>
        <w:t>WISHA: WAC 296-155-120 First-Aid Training</w:t>
      </w:r>
    </w:p>
    <w:p>
      <w:r>
        <w:t>WISHA: WAC 296-155-125 First-Aid Supplies</w:t>
      </w:r>
    </w:p>
    <w:p>
      <w:r>
        <w:t>WISHA: WAC 296-155-130 First-Aid Station</w:t>
      </w:r>
    </w:p>
    <w:p>
      <w:r>
        <w:t>WISHA: WAC 296-155-140 Sanitation</w:t>
      </w:r>
    </w:p>
    <w:p>
      <w:r>
        <w:t>WISHA: WAC 296-155-145 Occupational Noise Exposure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sz w:val="24"/>
    </w:rPr>
  </w:style>
  <w:style w:type="paragraph" w:customStyle="1" w:styleId="Heading2Custom">
    <w:name w:val="Heading 2 Custom"/>
    <w:basedOn w:val="Heading2"/>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008FC5-F5A6-49E7-9399-EB742CE23D6C}"/>
</file>

<file path=customXml/itemProps3.xml><?xml version="1.0" encoding="utf-8"?>
<ds:datastoreItem xmlns:ds="http://schemas.openxmlformats.org/officeDocument/2006/customXml" ds:itemID="{AF9FF521-83EF-4E10-9C06-E95F065EA2E8}"/>
</file>

<file path=customXml/itemProps4.xml><?xml version="1.0" encoding="utf-8"?>
<ds:datastoreItem xmlns:ds="http://schemas.openxmlformats.org/officeDocument/2006/customXml" ds:itemID="{CC51232F-3292-4622-83A5-7680BBBA855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