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360"/>
      </w:pPr>
      <w:r>
        <w:drawing>
          <wp:inline xmlns:a="http://schemas.openxmlformats.org/drawingml/2006/main" xmlns:pic="http://schemas.openxmlformats.org/drawingml/2006/picture">
            <wp:extent cx="2331720" cy="1328799"/>
            <wp:docPr id="1" name="Picture 1"/>
            <wp:cNvGraphicFramePr>
              <a:graphicFrameLocks noChangeAspect="1"/>
            </wp:cNvGraphicFramePr>
            <a:graphic>
              <a:graphicData uri="http://schemas.openxmlformats.org/drawingml/2006/picture">
                <pic:pic>
                  <pic:nvPicPr>
                    <pic:cNvPr id="0" name="mh-logo.png"/>
                    <pic:cNvPicPr/>
                  </pic:nvPicPr>
                  <pic:blipFill>
                    <a:blip r:embed="rId11"/>
                    <a:stretch>
                      <a:fillRect/>
                    </a:stretch>
                  </pic:blipFill>
                  <pic:spPr>
                    <a:xfrm>
                      <a:off x="0" y="0"/>
                      <a:ext cx="2331720" cy="1328799"/>
                    </a:xfrm>
                    <a:prstGeom prst="rect"/>
                  </pic:spPr>
                </pic:pic>
              </a:graphicData>
            </a:graphic>
          </wp:inline>
        </w:drawing>
      </w:r>
    </w:p>
    <w:p>
      <w:pPr/>
      <w:r>
        <w:t>Control: Version 1.0 | Status Draft | Author and Chief Editor: Matt Ramsey | Co-Editor: Todd Shoeff | Final Approver: Jeremy Thamert</w:t>
      </w:r>
    </w:p>
    <w:p>
      <w:pPr>
        <w:pStyle w:val="Title"/>
        <w:spacing w:before="160"/>
      </w:pPr>
      <w:r>
        <w:rPr>
          <w:rFonts w:ascii="Mendl Sans Dusk Bold" w:hAnsi="Mendl Sans Dusk Bold"/>
          <w:b/>
          <w:color w:val="386851"/>
          <w:sz w:val="54"/>
        </w:rPr>
        <w:t>MH Construction Enterprise Management System</w:t>
      </w:r>
    </w:p>
    <w:p>
      <w:pPr>
        <w:pStyle w:val="Heading2"/>
      </w:pPr>
      <w:r>
        <w:rPr>
          <w:rFonts w:ascii="Mendl Sans Dusk Medium" w:hAnsi="Mendl Sans Dusk Medium"/>
          <w:b w:val="0"/>
          <w:color w:val="628F79"/>
          <w:sz w:val="26"/>
        </w:rPr>
        <w:t>Company-wide policy, operating model and controlled-library architecture</w:t>
      </w:r>
    </w:p>
    <w:p>
      <w:r>
        <w:rPr>
          <w:rFonts w:ascii="Mendl Sans Dusk Bold" w:hAnsi="Mendl Sans Dusk Bold"/>
          <w:b/>
          <w:color w:val="202723"/>
          <w:sz w:val="21"/>
        </w:rPr>
        <w:t>Document ID:</w:t>
      </w:r>
      <w:r>
        <w:rPr>
          <w:rFonts w:ascii="Mendl Sans Dusk Regular" w:hAnsi="Mendl Sans Dusk Regular"/>
          <w:b w:val="0"/>
          <w:color w:val="202723"/>
          <w:sz w:val="21"/>
        </w:rPr>
        <w:t xml:space="preserve"> EMS-001 </w:t>
      </w:r>
      <w:r>
        <w:rPr>
          <w:rFonts w:ascii="Mendl Sans Dusk Bold" w:hAnsi="Mendl Sans Dusk Bold"/>
          <w:b/>
          <w:color w:val="202723"/>
          <w:sz w:val="21"/>
        </w:rPr>
        <w:t>Version:</w:t>
      </w:r>
      <w:r>
        <w:rPr>
          <w:rFonts w:ascii="Mendl Sans Dusk Regular" w:hAnsi="Mendl Sans Dusk Regular"/>
          <w:b w:val="0"/>
          <w:color w:val="202723"/>
          <w:sz w:val="21"/>
        </w:rPr>
        <w:t xml:space="preserve"> 1.0 </w:t>
      </w:r>
      <w:r>
        <w:rPr>
          <w:rFonts w:ascii="Mendl Sans Dusk Bold" w:hAnsi="Mendl Sans Dusk Bold"/>
          <w:b/>
          <w:color w:val="202723"/>
          <w:sz w:val="21"/>
        </w:rPr>
        <w:t>Owner:</w:t>
      </w:r>
      <w:r>
        <w:rPr>
          <w:rFonts w:ascii="Mendl Sans Dusk Regular" w:hAnsi="Mendl Sans Dusk Regular"/>
          <w:b w:val="0"/>
          <w:color w:val="202723"/>
          <w:sz w:val="21"/>
        </w:rPr>
        <w:t xml:space="preserve"> Jeremy Thamert, President/CEO - Acting COO </w:t>
      </w:r>
      <w:r>
        <w:rPr>
          <w:rFonts w:ascii="Mendl Sans Dusk Bold" w:hAnsi="Mendl Sans Dusk Bold"/>
          <w:b/>
          <w:color w:val="202723"/>
          <w:sz w:val="21"/>
        </w:rPr>
        <w:t>Approver:</w:t>
      </w:r>
      <w:r>
        <w:rPr>
          <w:rFonts w:ascii="Mendl Sans Dusk Regular" w:hAnsi="Mendl Sans Dusk Regular"/>
          <w:b w:val="0"/>
          <w:color w:val="202723"/>
          <w:sz w:val="21"/>
        </w:rPr>
        <w:t xml:space="preserve"> Jeremy Thamert </w:t>
      </w:r>
      <w:r>
        <w:rPr>
          <w:rFonts w:ascii="Mendl Sans Dusk Bold" w:hAnsi="Mendl Sans Dusk Bold"/>
          <w:b/>
          <w:color w:val="202723"/>
          <w:sz w:val="21"/>
        </w:rPr>
        <w:t>Review cycle:</w:t>
      </w:r>
      <w:r>
        <w:rPr>
          <w:rFonts w:ascii="Mendl Sans Dusk Regular" w:hAnsi="Mendl Sans Dusk Regular"/>
          <w:b w:val="0"/>
          <w:color w:val="202723"/>
          <w:sz w:val="21"/>
        </w:rPr>
        <w:t xml:space="preserve"> Annual and upon material change </w:t>
      </w:r>
      <w:r>
        <w:rPr>
          <w:rFonts w:ascii="Mendl Sans Dusk Bold" w:hAnsi="Mendl Sans Dusk Bold"/>
          <w:b/>
          <w:color w:val="202723"/>
          <w:sz w:val="21"/>
        </w:rPr>
        <w:t>Classification:</w:t>
      </w:r>
      <w:r>
        <w:rPr>
          <w:rFonts w:ascii="Mendl Sans Dusk Regular" w:hAnsi="Mendl Sans Dusk Regular"/>
          <w:b w:val="0"/>
          <w:color w:val="202723"/>
          <w:sz w:val="21"/>
        </w:rPr>
        <w:t xml:space="preserve"> Internal - controlled </w:t>
      </w:r>
      <w:r>
        <w:rPr>
          <w:rFonts w:ascii="Mendl Sans Dusk Bold" w:hAnsi="Mendl Sans Dusk Bold"/>
          <w:b/>
          <w:color w:val="202723"/>
          <w:sz w:val="21"/>
        </w:rPr>
        <w:t>Status:</w:t>
      </w:r>
      <w:r>
        <w:rPr>
          <w:rFonts w:ascii="Mendl Sans Dusk Regular" w:hAnsi="Mendl Sans Dusk Regular"/>
          <w:b w:val="0"/>
          <w:color w:val="202723"/>
          <w:sz w:val="21"/>
        </w:rPr>
        <w:t xml:space="preserve"> Controlled company policy </w:t>
      </w:r>
      <w:r>
        <w:rPr>
          <w:rFonts w:ascii="Mendl Sans Dusk Bold" w:hAnsi="Mendl Sans Dusk Bold"/>
          <w:b/>
          <w:color w:val="202723"/>
          <w:sz w:val="21"/>
        </w:rPr>
        <w:t>Effective date:</w:t>
      </w:r>
      <w:r>
        <w:rPr>
          <w:rFonts w:ascii="Mendl Sans Dusk Regular" w:hAnsi="Mendl Sans Dusk Regular"/>
          <w:b w:val="0"/>
          <w:color w:val="202723"/>
          <w:sz w:val="21"/>
        </w:rPr>
        <w:t xml:space="preserve"> August 3, 2026 </w:t>
      </w:r>
      <w:r>
        <w:rPr>
          <w:rFonts w:ascii="Mendl Sans Dusk Bold" w:hAnsi="Mendl Sans Dusk Bold"/>
          <w:b/>
          <w:color w:val="202723"/>
          <w:sz w:val="21"/>
        </w:rPr>
        <w:t>Supersedes:</w:t>
      </w:r>
      <w:r>
        <w:rPr>
          <w:rFonts w:ascii="Mendl Sans Dusk Regular" w:hAnsi="Mendl Sans Dusk Regular"/>
          <w:b w:val="0"/>
          <w:color w:val="202723"/>
          <w:sz w:val="21"/>
        </w:rPr>
        <w:t xml:space="preserve"> All prior enterprise umbrella drafts</w:t>
      </w:r>
    </w:p>
    <w:tbl>
      <w:tblPr>
        <w:tblW w:type="auto" w:w="0"/>
        <w:jc w:val="left"/>
        <w:tblLayout w:type="fixed"/>
        <w:tblLook w:firstColumn="1" w:firstRow="1" w:lastColumn="0" w:lastRow="0" w:noHBand="0" w:noVBand="1" w:val="04A0"/>
      </w:tblPr>
      <w:tblGrid>
        <w:gridCol w:w="9360"/>
      </w:tblGrid>
      <w:tr>
        <w:tc>
          <w:tcPr>
            <w:tcW w:type="dxa" w:w="9360"/>
            <w:shd w:fill="F7F1E8"/>
            <w:tcMar>
              <w:top w:w="140" w:type="dxa"/>
              <w:start w:w="180" w:type="dxa"/>
              <w:bottom w:w="140" w:type="dxa"/>
              <w:end w:w="180" w:type="dxa"/>
            </w:tcMar>
          </w:tcPr>
          <w:p>
            <w:pPr>
              <w:spacing w:after="0"/>
            </w:pPr>
            <w:r>
              <w:rPr>
                <w:rFonts w:ascii="Mendl Sans Dusk Medium" w:hAnsi="Mendl Sans Dusk Medium"/>
                <w:b w:val="0"/>
                <w:color w:val="1E392C"/>
                <w:sz w:val="21"/>
              </w:rPr>
              <w:t>This document is the umbrella management system for MH Construction, Inc. It does not replace the Employee Handbook, project contracts, approved safety programs, manufacturer instructions, engineered plans, law, or regulation. Where requirements conflict, the more protective or legally controlling requirement applies and the conflict must be escalated.</w:t>
            </w:r>
          </w:p>
        </w:tc>
      </w:tr>
    </w:tbl>
    <w:p>
      <w:pPr>
        <w:spacing w:after="20"/>
      </w:pPr>
    </w:p>
    <w:p>
      <w:r>
        <w:br w:type="page"/>
      </w:r>
    </w:p>
    <w:p>
      <w:pPr>
        <w:pStyle w:val="Heading2"/>
      </w:pPr>
      <w:r>
        <w:rPr>
          <w:rFonts w:ascii="Mendl Sans Dusk Medium" w:hAnsi="Mendl Sans Dusk Medium"/>
          <w:b w:val="0"/>
          <w:color w:val="628F79"/>
          <w:sz w:val="26"/>
        </w:rPr>
        <w:t>How to use this manual</w:t>
      </w:r>
    </w:p>
    <w:p>
      <w:r>
        <w:rPr>
          <w:rFonts w:ascii="Mendl Sans Dusk Regular" w:hAnsi="Mendl Sans Dusk Regular"/>
          <w:b w:val="0"/>
          <w:color w:val="202723"/>
          <w:sz w:val="21"/>
        </w:rPr>
        <w:t>This manual answers five company-wide questions:</w:t>
      </w:r>
    </w:p>
    <w:p>
      <w:pPr>
        <w:pStyle w:val="ListNumber"/>
        <w:spacing w:after="80" w:line="276" w:lineRule="auto"/>
        <w:ind w:left="461" w:hanging="259"/>
      </w:pPr>
      <w:r>
        <w:rPr>
          <w:rFonts w:ascii="Mendl Sans Dusk Regular" w:hAnsi="Mendl Sans Dusk Regular"/>
          <w:b w:val="0"/>
          <w:color w:val="202723"/>
          <w:sz w:val="21"/>
        </w:rPr>
        <w:t>Who owns the decision?</w:t>
      </w:r>
    </w:p>
    <w:p>
      <w:pPr>
        <w:pStyle w:val="ListNumber"/>
        <w:spacing w:after="80" w:line="276" w:lineRule="auto"/>
        <w:ind w:left="461" w:hanging="259"/>
      </w:pPr>
      <w:r>
        <w:rPr>
          <w:rFonts w:ascii="Mendl Sans Dusk Regular" w:hAnsi="Mendl Sans Dusk Regular"/>
          <w:b w:val="0"/>
          <w:color w:val="202723"/>
          <w:sz w:val="21"/>
        </w:rPr>
        <w:t>What must happen?</w:t>
      </w:r>
    </w:p>
    <w:p>
      <w:pPr>
        <w:pStyle w:val="ListNumber"/>
        <w:spacing w:after="80" w:line="276" w:lineRule="auto"/>
        <w:ind w:left="461" w:hanging="259"/>
      </w:pPr>
      <w:r>
        <w:rPr>
          <w:rFonts w:ascii="Mendl Sans Dusk Regular" w:hAnsi="Mendl Sans Dusk Regular"/>
          <w:b w:val="0"/>
          <w:color w:val="202723"/>
          <w:sz w:val="21"/>
        </w:rPr>
        <w:t>What evidence proves it happened?</w:t>
      </w:r>
    </w:p>
    <w:p>
      <w:pPr>
        <w:pStyle w:val="ListNumber"/>
        <w:spacing w:after="80" w:line="276" w:lineRule="auto"/>
        <w:ind w:left="461" w:hanging="259"/>
      </w:pPr>
      <w:r>
        <w:rPr>
          <w:rFonts w:ascii="Mendl Sans Dusk Regular" w:hAnsi="Mendl Sans Dusk Regular"/>
          <w:b w:val="0"/>
          <w:color w:val="202723"/>
          <w:sz w:val="21"/>
        </w:rPr>
        <w:t>Where is the approved record stored?</w:t>
      </w:r>
    </w:p>
    <w:p>
      <w:pPr>
        <w:pStyle w:val="ListNumber"/>
        <w:spacing w:after="80" w:line="276" w:lineRule="auto"/>
        <w:ind w:left="461" w:hanging="259"/>
      </w:pPr>
      <w:r>
        <w:rPr>
          <w:rFonts w:ascii="Mendl Sans Dusk Regular" w:hAnsi="Mendl Sans Dusk Regular"/>
          <w:b w:val="0"/>
          <w:color w:val="202723"/>
          <w:sz w:val="21"/>
        </w:rPr>
        <w:t>How are exceptions, changes and lessons learned controlled?</w:t>
      </w:r>
    </w:p>
    <w:p>
      <w:r>
        <w:rPr>
          <w:rFonts w:ascii="Mendl Sans Dusk Regular" w:hAnsi="Mendl Sans Dusk Regular"/>
          <w:b w:val="0"/>
          <w:color w:val="202723"/>
          <w:sz w:val="21"/>
        </w:rPr>
        <w:t>The Enterprise Management System (EMS) has four document layers: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745"/>
            <w:vAlign w:val="center"/>
            <w:tcMar>
              <w:top w:w="80" w:type="dxa"/>
              <w:start w:w="120" w:type="dxa"/>
              <w:bottom w:w="80" w:type="dxa"/>
              <w:end w:w="120" w:type="dxa"/>
            </w:tcMar>
            <w:shd w:fill="386851"/>
          </w:tcPr>
          <w:p>
            <w:pPr>
              <w:spacing w:after="0"/>
            </w:pPr>
            <w:r>
              <w:rPr>
                <w:rFonts w:ascii="Mendl Sans Dusk Bold" w:hAnsi="Mendl Sans Dusk Bold"/>
                <w:b/>
                <w:color w:val="FFFFFF"/>
                <w:sz w:val="16"/>
              </w:rPr>
              <w:t>Layer</w:t>
            </w:r>
          </w:p>
        </w:tc>
        <w:tc>
          <w:tcPr>
            <w:tcW w:type="dxa" w:w="2765"/>
            <w:vAlign w:val="center"/>
            <w:tcMar>
              <w:top w:w="80" w:type="dxa"/>
              <w:start w:w="120" w:type="dxa"/>
              <w:bottom w:w="80" w:type="dxa"/>
              <w:end w:w="120" w:type="dxa"/>
            </w:tcMar>
            <w:shd w:fill="386851"/>
          </w:tcPr>
          <w:p>
            <w:pPr>
              <w:spacing w:after="0"/>
            </w:pPr>
            <w:r>
              <w:rPr>
                <w:rFonts w:ascii="Mendl Sans Dusk Bold" w:hAnsi="Mendl Sans Dusk Bold"/>
                <w:b/>
                <w:color w:val="FFFFFF"/>
                <w:sz w:val="16"/>
              </w:rPr>
              <w:t>Document type</w:t>
            </w:r>
          </w:p>
        </w:tc>
        <w:tc>
          <w:tcPr>
            <w:tcW w:type="dxa" w:w="585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Purpose</w:t>
            </w:r>
          </w:p>
        </w:tc>
      </w:tr>
      <w:tr>
        <w:tc>
          <w:tcPr>
            <w:tcW w:type="dxa" w:w="745"/>
            <w:vAlign w:val="center"/>
            <w:tcMar>
              <w:top w:w="80" w:type="dxa"/>
              <w:start w:w="120" w:type="dxa"/>
              <w:bottom w:w="80" w:type="dxa"/>
              <w:end w:w="120" w:type="dxa"/>
            </w:tcMar>
          </w:tcPr>
          <w:p>
            <w:pPr>
              <w:spacing w:after="0"/>
            </w:pPr>
            <w:r>
              <w:rPr>
                <w:rFonts w:ascii="Mendl Sans Dusk Regular" w:hAnsi="Mendl Sans Dusk Regular"/>
                <w:b w:val="0"/>
                <w:color w:val="202723"/>
                <w:sz w:val="16"/>
              </w:rPr>
              <w:t>1</w:t>
            </w:r>
          </w:p>
        </w:tc>
        <w:tc>
          <w:tcPr>
            <w:tcW w:type="dxa" w:w="2765"/>
            <w:vAlign w:val="center"/>
            <w:tcMar>
              <w:top w:w="80" w:type="dxa"/>
              <w:start w:w="120" w:type="dxa"/>
              <w:bottom w:w="80" w:type="dxa"/>
              <w:end w:w="120" w:type="dxa"/>
            </w:tcMar>
          </w:tcPr>
          <w:p>
            <w:pPr>
              <w:spacing w:after="0"/>
            </w:pPr>
            <w:r>
              <w:rPr>
                <w:rFonts w:ascii="Mendl Sans Dusk Regular" w:hAnsi="Mendl Sans Dusk Regular"/>
                <w:b w:val="0"/>
                <w:color w:val="202723"/>
                <w:sz w:val="16"/>
              </w:rPr>
              <w:t>Enterprise policy</w:t>
            </w:r>
          </w:p>
        </w:tc>
        <w:tc>
          <w:tcPr>
            <w:tcW w:type="dxa" w:w="5850"/>
            <w:vAlign w:val="center"/>
            <w:tcMar>
              <w:top w:w="80" w:type="dxa"/>
              <w:start w:w="120" w:type="dxa"/>
              <w:bottom w:w="80" w:type="dxa"/>
              <w:end w:w="120" w:type="dxa"/>
            </w:tcMar>
          </w:tcPr>
          <w:p>
            <w:pPr>
              <w:spacing w:after="0"/>
            </w:pPr>
            <w:r>
              <w:rPr>
                <w:rFonts w:ascii="Mendl Sans Dusk Regular" w:hAnsi="Mendl Sans Dusk Regular"/>
                <w:b w:val="0"/>
                <w:color w:val="202723"/>
                <w:sz w:val="16"/>
              </w:rPr>
              <w:t>Defines company intent, accountability and non-negotiable controls.</w:t>
            </w:r>
          </w:p>
        </w:tc>
      </w:tr>
      <w:tr>
        <w:tc>
          <w:tcPr>
            <w:tcW w:type="dxa" w:w="745"/>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2</w:t>
            </w:r>
          </w:p>
        </w:tc>
        <w:tc>
          <w:tcPr>
            <w:tcW w:type="dxa" w:w="2765"/>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Functional manual</w:t>
            </w:r>
          </w:p>
        </w:tc>
        <w:tc>
          <w:tcPr>
            <w:tcW w:type="dxa" w:w="585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Defines how a business function operates.</w:t>
            </w:r>
          </w:p>
        </w:tc>
      </w:tr>
      <w:tr>
        <w:tc>
          <w:tcPr>
            <w:tcW w:type="dxa" w:w="745"/>
            <w:vAlign w:val="center"/>
            <w:tcMar>
              <w:top w:w="80" w:type="dxa"/>
              <w:start w:w="120" w:type="dxa"/>
              <w:bottom w:w="80" w:type="dxa"/>
              <w:end w:w="120" w:type="dxa"/>
            </w:tcMar>
          </w:tcPr>
          <w:p>
            <w:pPr>
              <w:spacing w:after="0"/>
            </w:pPr>
            <w:r>
              <w:rPr>
                <w:rFonts w:ascii="Mendl Sans Dusk Regular" w:hAnsi="Mendl Sans Dusk Regular"/>
                <w:b w:val="0"/>
                <w:color w:val="202723"/>
                <w:sz w:val="16"/>
              </w:rPr>
              <w:t>3</w:t>
            </w:r>
          </w:p>
        </w:tc>
        <w:tc>
          <w:tcPr>
            <w:tcW w:type="dxa" w:w="2765"/>
            <w:vAlign w:val="center"/>
            <w:tcMar>
              <w:top w:w="80" w:type="dxa"/>
              <w:start w:w="120" w:type="dxa"/>
              <w:bottom w:w="80" w:type="dxa"/>
              <w:end w:w="120" w:type="dxa"/>
            </w:tcMar>
          </w:tcPr>
          <w:p>
            <w:pPr>
              <w:spacing w:after="0"/>
            </w:pPr>
            <w:r>
              <w:rPr>
                <w:rFonts w:ascii="Mendl Sans Dusk Regular" w:hAnsi="Mendl Sans Dusk Regular"/>
                <w:b w:val="0"/>
                <w:color w:val="202723"/>
                <w:sz w:val="16"/>
              </w:rPr>
              <w:t>Procedure/work instruction</w:t>
            </w:r>
          </w:p>
        </w:tc>
        <w:tc>
          <w:tcPr>
            <w:tcW w:type="dxa" w:w="5850"/>
            <w:vAlign w:val="center"/>
            <w:tcMar>
              <w:top w:w="80" w:type="dxa"/>
              <w:start w:w="120" w:type="dxa"/>
              <w:bottom w:w="80" w:type="dxa"/>
              <w:end w:w="120" w:type="dxa"/>
            </w:tcMar>
          </w:tcPr>
          <w:p>
            <w:pPr>
              <w:spacing w:after="0"/>
            </w:pPr>
            <w:r>
              <w:rPr>
                <w:rFonts w:ascii="Mendl Sans Dusk Regular" w:hAnsi="Mendl Sans Dusk Regular"/>
                <w:b w:val="0"/>
                <w:color w:val="202723"/>
                <w:sz w:val="16"/>
              </w:rPr>
              <w:t>Defines repeatable execution steps.</w:t>
            </w:r>
          </w:p>
        </w:tc>
      </w:tr>
      <w:tr>
        <w:tc>
          <w:tcPr>
            <w:tcW w:type="dxa" w:w="745"/>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4</w:t>
            </w:r>
          </w:p>
        </w:tc>
        <w:tc>
          <w:tcPr>
            <w:tcW w:type="dxa" w:w="2765"/>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Form/record</w:t>
            </w:r>
          </w:p>
        </w:tc>
        <w:tc>
          <w:tcPr>
            <w:tcW w:type="dxa" w:w="585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Captures evidence, approval and outcome.</w:t>
            </w:r>
          </w:p>
        </w:tc>
      </w:tr>
    </w:tbl>
    <w:p>
      <w:pPr>
        <w:spacing w:after="20"/>
      </w:pPr>
    </w:p>
    <w:p>
      <w:r>
        <w:rPr>
          <w:rFonts w:ascii="Mendl Sans Dusk Regular" w:hAnsi="Mendl Sans Dusk Regular"/>
          <w:b w:val="0"/>
          <w:color w:val="202723"/>
          <w:sz w:val="21"/>
        </w:rPr>
        <w:t>No employee is expected to memorize every manual. Every employee is expected to know the policies and procedures applicable to their role, know where the current approved version is located, and stop and ask when conditions fall outside the approved process.</w:t>
      </w:r>
    </w:p>
    <w:p>
      <w:pPr>
        <w:pStyle w:val="Heading3"/>
      </w:pPr>
      <w:r>
        <w:rPr>
          <w:rFonts w:ascii="Mendl Sans Dusk Medium" w:hAnsi="Mendl Sans Dusk Medium"/>
          <w:b w:val="0"/>
          <w:color w:val="1E392C"/>
          <w:sz w:val="23"/>
        </w:rPr>
        <w:t>The five first-class company manuals</w:t>
      </w:r>
    </w:p>
    <w:p>
      <w:r>
        <w:rPr>
          <w:rFonts w:ascii="Mendl Sans Dusk Regular" w:hAnsi="Mendl Sans Dusk Regular"/>
          <w:b w:val="0"/>
          <w:color w:val="202723"/>
          <w:sz w:val="21"/>
        </w:rPr>
        <w:t>The MHC Bible is an umbrella system, not one oversized file. Its governed core is five first-class manuals that remain independently owned, approved, versioned and searchable: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207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Manual</w:t>
            </w:r>
          </w:p>
        </w:tc>
        <w:tc>
          <w:tcPr>
            <w:tcW w:type="dxa" w:w="495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Governing purpose</w:t>
            </w:r>
          </w:p>
        </w:tc>
        <w:tc>
          <w:tcPr>
            <w:tcW w:type="dxa" w:w="234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Primary owner</w:t>
            </w:r>
          </w:p>
        </w:tc>
      </w:tr>
      <w:tr>
        <w:tc>
          <w:tcPr>
            <w:tcW w:type="dxa" w:w="2070"/>
            <w:vAlign w:val="center"/>
            <w:tcMar>
              <w:top w:w="80" w:type="dxa"/>
              <w:start w:w="120" w:type="dxa"/>
              <w:bottom w:w="80" w:type="dxa"/>
              <w:end w:w="120" w:type="dxa"/>
            </w:tcMar>
          </w:tcPr>
          <w:p>
            <w:pPr>
              <w:spacing w:after="0"/>
            </w:pPr>
            <w:r>
              <w:rPr>
                <w:rFonts w:ascii="Mendl Sans Dusk Regular" w:hAnsi="Mendl Sans Dusk Regular"/>
                <w:b w:val="0"/>
                <w:color w:val="202723"/>
                <w:sz w:val="16"/>
              </w:rPr>
              <w:t>Employee Handbook (EHB)</w:t>
            </w:r>
          </w:p>
        </w:tc>
        <w:tc>
          <w:tcPr>
            <w:tcW w:type="dxa" w:w="4950"/>
            <w:vAlign w:val="center"/>
            <w:tcMar>
              <w:top w:w="80" w:type="dxa"/>
              <w:start w:w="120" w:type="dxa"/>
              <w:bottom w:w="80" w:type="dxa"/>
              <w:end w:w="120" w:type="dxa"/>
            </w:tcMar>
          </w:tcPr>
          <w:p>
            <w:pPr>
              <w:spacing w:after="0"/>
            </w:pPr>
            <w:r>
              <w:rPr>
                <w:rFonts w:ascii="Mendl Sans Dusk Regular" w:hAnsi="Mendl Sans Dusk Regular"/>
                <w:b w:val="0"/>
                <w:color w:val="202723"/>
                <w:sz w:val="16"/>
              </w:rPr>
              <w:t>Employment relationship, conduct, benefits, leave, discipline and state addenda</w:t>
            </w:r>
          </w:p>
        </w:tc>
        <w:tc>
          <w:tcPr>
            <w:tcW w:type="dxa" w:w="2340"/>
            <w:vAlign w:val="center"/>
            <w:tcMar>
              <w:top w:w="80" w:type="dxa"/>
              <w:start w:w="120" w:type="dxa"/>
              <w:bottom w:w="80" w:type="dxa"/>
              <w:end w:w="120" w:type="dxa"/>
            </w:tcMar>
          </w:tcPr>
          <w:p>
            <w:pPr>
              <w:spacing w:after="0"/>
            </w:pPr>
            <w:r>
              <w:rPr>
                <w:rFonts w:ascii="Mendl Sans Dusk Regular" w:hAnsi="Mendl Sans Dusk Regular"/>
                <w:b w:val="0"/>
                <w:color w:val="202723"/>
                <w:sz w:val="16"/>
              </w:rPr>
              <w:t>President/CEO - Acting COO</w:t>
            </w:r>
          </w:p>
        </w:tc>
      </w:tr>
      <w:tr>
        <w:tc>
          <w:tcPr>
            <w:tcW w:type="dxa" w:w="207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Operations Manual (OPS)</w:t>
            </w:r>
          </w:p>
        </w:tc>
        <w:tc>
          <w:tcPr>
            <w:tcW w:type="dxa" w:w="495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Project delivery, finance, procurement, quality, equipment, records and closeout</w:t>
            </w:r>
          </w:p>
        </w:tc>
        <w:tc>
          <w:tcPr>
            <w:tcW w:type="dxa" w:w="234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President/CEO - Acting COO</w:t>
            </w:r>
          </w:p>
        </w:tc>
      </w:tr>
      <w:tr>
        <w:tc>
          <w:tcPr>
            <w:tcW w:type="dxa" w:w="2070"/>
            <w:vAlign w:val="center"/>
            <w:tcMar>
              <w:top w:w="80" w:type="dxa"/>
              <w:start w:w="120" w:type="dxa"/>
              <w:bottom w:w="80" w:type="dxa"/>
              <w:end w:w="120" w:type="dxa"/>
            </w:tcMar>
          </w:tcPr>
          <w:p>
            <w:pPr>
              <w:spacing w:after="0"/>
            </w:pPr>
            <w:r>
              <w:rPr>
                <w:rFonts w:ascii="Mendl Sans Dusk Regular" w:hAnsi="Mendl Sans Dusk Regular"/>
                <w:b w:val="0"/>
                <w:color w:val="202723"/>
                <w:sz w:val="16"/>
              </w:rPr>
              <w:t>MISH</w:t>
            </w:r>
          </w:p>
        </w:tc>
        <w:tc>
          <w:tcPr>
            <w:tcW w:type="dxa" w:w="4950"/>
            <w:vAlign w:val="center"/>
            <w:tcMar>
              <w:top w:w="80" w:type="dxa"/>
              <w:start w:w="120" w:type="dxa"/>
              <w:bottom w:w="80" w:type="dxa"/>
              <w:end w:w="120" w:type="dxa"/>
            </w:tcMar>
          </w:tcPr>
          <w:p>
            <w:pPr>
              <w:spacing w:after="0"/>
            </w:pPr>
            <w:r>
              <w:rPr>
                <w:rFonts w:ascii="Mendl Sans Dusk Regular" w:hAnsi="Mendl Sans Dusk Regular"/>
                <w:b w:val="0"/>
                <w:color w:val="202723"/>
                <w:sz w:val="16"/>
              </w:rPr>
              <w:t>MH Construction Industrial Safety &amp; Health requirements and field safety programs</w:t>
            </w:r>
          </w:p>
        </w:tc>
        <w:tc>
          <w:tcPr>
            <w:tcW w:type="dxa" w:w="2340"/>
            <w:vAlign w:val="center"/>
            <w:tcMar>
              <w:top w:w="80" w:type="dxa"/>
              <w:start w:w="120" w:type="dxa"/>
              <w:bottom w:w="80" w:type="dxa"/>
              <w:end w:w="120" w:type="dxa"/>
            </w:tcMar>
          </w:tcPr>
          <w:p>
            <w:pPr>
              <w:spacing w:after="0"/>
            </w:pPr>
            <w:r>
              <w:rPr>
                <w:rFonts w:ascii="Mendl Sans Dusk Regular" w:hAnsi="Mendl Sans Dusk Regular"/>
                <w:b w:val="0"/>
                <w:color w:val="202723"/>
                <w:sz w:val="16"/>
              </w:rPr>
              <w:t>Matt Ramsey, CHENG</w:t>
            </w:r>
          </w:p>
        </w:tc>
      </w:tr>
      <w:tr>
        <w:tc>
          <w:tcPr>
            <w:tcW w:type="dxa" w:w="207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Marketing Guide (MKT)</w:t>
            </w:r>
          </w:p>
        </w:tc>
        <w:tc>
          <w:tcPr>
            <w:tcW w:type="dxa" w:w="495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Brand, market positioning, campaigns, content and lead stewardship</w:t>
            </w:r>
          </w:p>
        </w:tc>
        <w:tc>
          <w:tcPr>
            <w:tcW w:type="dxa" w:w="234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Matt Ramsey, CHENG</w:t>
            </w:r>
          </w:p>
        </w:tc>
      </w:tr>
      <w:tr>
        <w:tc>
          <w:tcPr>
            <w:tcW w:type="dxa" w:w="2070"/>
            <w:vAlign w:val="center"/>
            <w:tcMar>
              <w:top w:w="80" w:type="dxa"/>
              <w:start w:w="120" w:type="dxa"/>
              <w:bottom w:w="80" w:type="dxa"/>
              <w:end w:w="120" w:type="dxa"/>
            </w:tcMar>
          </w:tcPr>
          <w:p>
            <w:pPr>
              <w:spacing w:after="0"/>
            </w:pPr>
            <w:r>
              <w:rPr>
                <w:rFonts w:ascii="Mendl Sans Dusk Regular" w:hAnsi="Mendl Sans Dusk Regular"/>
                <w:b w:val="0"/>
                <w:color w:val="202723"/>
                <w:sz w:val="16"/>
              </w:rPr>
              <w:t>Sales Guide (SAL)</w:t>
            </w:r>
          </w:p>
        </w:tc>
        <w:tc>
          <w:tcPr>
            <w:tcW w:type="dxa" w:w="4950"/>
            <w:vAlign w:val="center"/>
            <w:tcMar>
              <w:top w:w="80" w:type="dxa"/>
              <w:start w:w="120" w:type="dxa"/>
              <w:bottom w:w="80" w:type="dxa"/>
              <w:end w:w="120" w:type="dxa"/>
            </w:tcMar>
          </w:tcPr>
          <w:p>
            <w:pPr>
              <w:spacing w:after="0"/>
            </w:pPr>
            <w:r>
              <w:rPr>
                <w:rFonts w:ascii="Mendl Sans Dusk Regular" w:hAnsi="Mendl Sans Dusk Regular"/>
                <w:b w:val="0"/>
                <w:color w:val="202723"/>
                <w:sz w:val="16"/>
              </w:rPr>
              <w:t>Qualification, pursuit, proposal, negotiation and handoff</w:t>
            </w:r>
          </w:p>
        </w:tc>
        <w:tc>
          <w:tcPr>
            <w:tcW w:type="dxa" w:w="2340"/>
            <w:vAlign w:val="center"/>
            <w:tcMar>
              <w:top w:w="80" w:type="dxa"/>
              <w:start w:w="120" w:type="dxa"/>
              <w:bottom w:w="80" w:type="dxa"/>
              <w:end w:w="120" w:type="dxa"/>
            </w:tcMar>
          </w:tcPr>
          <w:p>
            <w:pPr>
              <w:spacing w:after="0"/>
            </w:pPr>
            <w:r>
              <w:rPr>
                <w:rFonts w:ascii="Mendl Sans Dusk Regular" w:hAnsi="Mendl Sans Dusk Regular"/>
                <w:b w:val="0"/>
                <w:color w:val="202723"/>
                <w:sz w:val="16"/>
              </w:rPr>
              <w:t>CHNAV</w:t>
            </w:r>
          </w:p>
        </w:tc>
      </w:tr>
    </w:tbl>
    <w:p>
      <w:pPr>
        <w:spacing w:after="20"/>
      </w:pPr>
    </w:p>
    <w:p>
      <w:r>
        <w:rPr>
          <w:rFonts w:ascii="Mendl Sans Dusk Regular" w:hAnsi="Mendl Sans Dusk Regular"/>
          <w:b w:val="0"/>
          <w:color w:val="202723"/>
          <w:sz w:val="21"/>
        </w:rPr>
        <w:t>This EMS connects those manuals, assigns cross-functional handoffs and controls their subordinate procedures, forms, toolbox talks, SDS records and project evidence. A rule belongs in one authoritative manual and is referenced elsewhere; it should not be maintained as conflicting duplicate text.</w:t>
      </w:r>
    </w:p>
    <w:p>
      <w:pPr>
        <w:pStyle w:val="Heading1"/>
      </w:pPr>
      <w:r>
        <w:rPr>
          <w:rFonts w:ascii="Mendl Sans Dusk Bold" w:hAnsi="Mendl Sans Dusk Bold"/>
          <w:b/>
          <w:color w:val="386851"/>
          <w:sz w:val="32"/>
        </w:rPr>
        <w:t>Part I - Governance and company doctrine</w:t>
      </w:r>
    </w:p>
    <w:p>
      <w:pPr>
        <w:pStyle w:val="Heading2"/>
      </w:pPr>
      <w:r>
        <w:rPr>
          <w:rFonts w:ascii="Mendl Sans Dusk Medium" w:hAnsi="Mendl Sans Dusk Medium"/>
          <w:b w:val="0"/>
          <w:color w:val="628F79"/>
          <w:sz w:val="26"/>
        </w:rPr>
        <w:t>1. Purpose, scope and authority</w:t>
      </w:r>
    </w:p>
    <w:p>
      <w:pPr>
        <w:pStyle w:val="Heading3"/>
      </w:pPr>
      <w:r>
        <w:rPr>
          <w:rFonts w:ascii="Mendl Sans Dusk Medium" w:hAnsi="Mendl Sans Dusk Medium"/>
          <w:b w:val="0"/>
          <w:color w:val="1E392C"/>
          <w:sz w:val="23"/>
        </w:rPr>
        <w:t>1.1 Purpose</w:t>
      </w:r>
    </w:p>
    <w:p>
      <w:r>
        <w:rPr>
          <w:rFonts w:ascii="Mendl Sans Dusk Regular" w:hAnsi="Mendl Sans Dusk Regular"/>
          <w:b w:val="0"/>
          <w:color w:val="202723"/>
          <w:sz w:val="21"/>
        </w:rPr>
        <w:t>MH Construction maintains an integrated management system so that opportunity selection, estimating, contracts, project delivery, safety, quality, finance, people, equipment, technology and closeout operate as one connected process.</w:t>
      </w:r>
    </w:p>
    <w:p>
      <w:r>
        <w:rPr>
          <w:rFonts w:ascii="Mendl Sans Dusk Regular" w:hAnsi="Mendl Sans Dusk Regular"/>
          <w:b w:val="0"/>
          <w:color w:val="202723"/>
          <w:sz w:val="21"/>
        </w:rPr>
        <w:t>The system is designed to:</w:t>
      </w:r>
    </w:p>
    <w:p>
      <w:pPr>
        <w:pStyle w:val="ListBullet"/>
        <w:spacing w:after="80" w:line="276" w:lineRule="auto"/>
        <w:ind w:left="461" w:hanging="259"/>
      </w:pPr>
      <w:r>
        <w:rPr>
          <w:rFonts w:ascii="Mendl Sans Dusk Regular" w:hAnsi="Mendl Sans Dusk Regular"/>
          <w:b w:val="0"/>
          <w:color w:val="202723"/>
          <w:sz w:val="21"/>
        </w:rPr>
        <w:t>protect employees, the public, clients and the company;</w:t>
      </w:r>
    </w:p>
    <w:p>
      <w:pPr>
        <w:pStyle w:val="ListBullet"/>
        <w:spacing w:after="80" w:line="276" w:lineRule="auto"/>
        <w:ind w:left="461" w:hanging="259"/>
      </w:pPr>
      <w:r>
        <w:rPr>
          <w:rFonts w:ascii="Mendl Sans Dusk Regular" w:hAnsi="Mendl Sans Dusk Regular"/>
          <w:b w:val="0"/>
          <w:color w:val="202723"/>
          <w:sz w:val="21"/>
        </w:rPr>
        <w:t>deliver predictable scope, schedule, cost, quality and safety outcomes;</w:t>
      </w:r>
    </w:p>
    <w:p>
      <w:pPr>
        <w:pStyle w:val="ListBullet"/>
        <w:spacing w:after="80" w:line="276" w:lineRule="auto"/>
        <w:ind w:left="461" w:hanging="259"/>
      </w:pPr>
      <w:r>
        <w:rPr>
          <w:rFonts w:ascii="Mendl Sans Dusk Regular" w:hAnsi="Mendl Sans Dusk Regular"/>
          <w:b w:val="0"/>
          <w:color w:val="202723"/>
          <w:sz w:val="21"/>
        </w:rPr>
        <w:t>preserve legal, contractual, licensing, lien, insurance and bonding rights;</w:t>
      </w:r>
    </w:p>
    <w:p>
      <w:pPr>
        <w:pStyle w:val="ListBullet"/>
        <w:spacing w:after="80" w:line="276" w:lineRule="auto"/>
        <w:ind w:left="461" w:hanging="259"/>
      </w:pPr>
      <w:r>
        <w:rPr>
          <w:rFonts w:ascii="Mendl Sans Dusk Regular" w:hAnsi="Mendl Sans Dusk Regular"/>
          <w:b w:val="0"/>
          <w:color w:val="202723"/>
          <w:sz w:val="21"/>
        </w:rPr>
        <w:t>create reliable evidence of decisions and work performed;</w:t>
      </w:r>
    </w:p>
    <w:p>
      <w:pPr>
        <w:pStyle w:val="ListBullet"/>
        <w:spacing w:after="80" w:line="276" w:lineRule="auto"/>
        <w:ind w:left="461" w:hanging="259"/>
      </w:pPr>
      <w:r>
        <w:rPr>
          <w:rFonts w:ascii="Mendl Sans Dusk Regular" w:hAnsi="Mendl Sans Dusk Regular"/>
          <w:b w:val="0"/>
          <w:color w:val="202723"/>
          <w:sz w:val="21"/>
        </w:rPr>
        <w:t>support field execution without unnecessary administrative friction;</w:t>
      </w:r>
    </w:p>
    <w:p>
      <w:pPr>
        <w:pStyle w:val="ListBullet"/>
        <w:spacing w:after="80" w:line="276" w:lineRule="auto"/>
        <w:ind w:left="461" w:hanging="259"/>
      </w:pPr>
      <w:r>
        <w:rPr>
          <w:rFonts w:ascii="Mendl Sans Dusk Regular" w:hAnsi="Mendl Sans Dusk Regular"/>
          <w:b w:val="0"/>
          <w:color w:val="202723"/>
          <w:sz w:val="21"/>
        </w:rPr>
        <w:t>improve through audits, incidents, project lessons and employee feedback.</w:t>
      </w:r>
    </w:p>
    <w:p>
      <w:pPr>
        <w:pStyle w:val="Heading3"/>
      </w:pPr>
      <w:r>
        <w:rPr>
          <w:rFonts w:ascii="Mendl Sans Dusk Medium" w:hAnsi="Mendl Sans Dusk Medium"/>
          <w:b w:val="0"/>
          <w:color w:val="1E392C"/>
          <w:sz w:val="23"/>
        </w:rPr>
        <w:t>1.2 Scope</w:t>
      </w:r>
    </w:p>
    <w:p>
      <w:r>
        <w:rPr>
          <w:rFonts w:ascii="Mendl Sans Dusk Regular" w:hAnsi="Mendl Sans Dusk Regular"/>
          <w:b w:val="0"/>
          <w:color w:val="202723"/>
          <w:sz w:val="21"/>
        </w:rPr>
        <w:t>This manual applies to all MH Construction employees, officers, temporary staff and controlled operations. Contract partners and subcontractors must comply with applicable contract requirements, site rules and safety plans. No internal policy changes the legal employment relationship or creates a contractual promise unless approved in writing by authorized leadership.</w:t>
      </w:r>
    </w:p>
    <w:p>
      <w:pPr>
        <w:pStyle w:val="Heading3"/>
      </w:pPr>
      <w:r>
        <w:rPr>
          <w:rFonts w:ascii="Mendl Sans Dusk Medium" w:hAnsi="Mendl Sans Dusk Medium"/>
          <w:b w:val="0"/>
          <w:color w:val="1E392C"/>
          <w:sz w:val="23"/>
        </w:rPr>
        <w:t>1.3 Order of precedence</w:t>
      </w:r>
    </w:p>
    <w:p>
      <w:r>
        <w:rPr>
          <w:rFonts w:ascii="Mendl Sans Dusk Regular" w:hAnsi="Mendl Sans Dusk Regular"/>
          <w:b w:val="0"/>
          <w:color w:val="202723"/>
          <w:sz w:val="21"/>
        </w:rPr>
        <w:t>Unless a contract or law requires a different order, conflicts are resolved in this sequence:</w:t>
      </w:r>
    </w:p>
    <w:p>
      <w:pPr>
        <w:pStyle w:val="ListNumber"/>
        <w:spacing w:after="80" w:line="276" w:lineRule="auto"/>
        <w:ind w:left="461" w:hanging="259"/>
      </w:pPr>
      <w:r>
        <w:rPr>
          <w:rFonts w:ascii="Mendl Sans Dusk Regular" w:hAnsi="Mendl Sans Dusk Regular"/>
          <w:b w:val="0"/>
          <w:color w:val="202723"/>
          <w:sz w:val="21"/>
        </w:rPr>
        <w:t>Applicable law, regulation and authority having jurisdiction.</w:t>
      </w:r>
    </w:p>
    <w:p>
      <w:pPr>
        <w:pStyle w:val="ListNumber"/>
        <w:spacing w:after="80" w:line="276" w:lineRule="auto"/>
        <w:ind w:left="461" w:hanging="259"/>
      </w:pPr>
      <w:r>
        <w:rPr>
          <w:rFonts w:ascii="Mendl Sans Dusk Regular" w:hAnsi="Mendl Sans Dusk Regular"/>
          <w:b w:val="0"/>
          <w:color w:val="202723"/>
          <w:sz w:val="21"/>
        </w:rPr>
        <w:t>Approved engineered design and manufacturer instructions.</w:t>
      </w:r>
    </w:p>
    <w:p>
      <w:pPr>
        <w:pStyle w:val="ListNumber"/>
        <w:spacing w:after="80" w:line="276" w:lineRule="auto"/>
        <w:ind w:left="461" w:hanging="259"/>
      </w:pPr>
      <w:r>
        <w:rPr>
          <w:rFonts w:ascii="Mendl Sans Dusk Regular" w:hAnsi="Mendl Sans Dusk Regular"/>
          <w:b w:val="0"/>
          <w:color w:val="202723"/>
          <w:sz w:val="21"/>
        </w:rPr>
        <w:t>Executed owner contract and incorporated contract documents.</w:t>
      </w:r>
    </w:p>
    <w:p>
      <w:pPr>
        <w:pStyle w:val="ListNumber"/>
        <w:spacing w:after="80" w:line="276" w:lineRule="auto"/>
        <w:ind w:left="461" w:hanging="259"/>
      </w:pPr>
      <w:r>
        <w:rPr>
          <w:rFonts w:ascii="Mendl Sans Dusk Regular" w:hAnsi="Mendl Sans Dusk Regular"/>
          <w:b w:val="0"/>
          <w:color w:val="202723"/>
          <w:sz w:val="21"/>
        </w:rPr>
        <w:t>Executed subcontract or purchase order.</w:t>
      </w:r>
    </w:p>
    <w:p>
      <w:pPr>
        <w:pStyle w:val="ListNumber"/>
        <w:spacing w:after="80" w:line="276" w:lineRule="auto"/>
        <w:ind w:left="461" w:hanging="259"/>
      </w:pPr>
      <w:r>
        <w:rPr>
          <w:rFonts w:ascii="Mendl Sans Dusk Regular" w:hAnsi="Mendl Sans Dusk Regular"/>
          <w:b w:val="0"/>
          <w:color w:val="202723"/>
          <w:sz w:val="21"/>
        </w:rPr>
        <w:t>Project-specific plan, including the SSSP, quality plan and logistics plan.</w:t>
      </w:r>
    </w:p>
    <w:p>
      <w:pPr>
        <w:pStyle w:val="ListNumber"/>
        <w:spacing w:after="80" w:line="276" w:lineRule="auto"/>
        <w:ind w:left="461" w:hanging="259"/>
      </w:pPr>
      <w:r>
        <w:rPr>
          <w:rFonts w:ascii="Mendl Sans Dusk Regular" w:hAnsi="Mendl Sans Dusk Regular"/>
          <w:b w:val="0"/>
          <w:color w:val="202723"/>
          <w:sz w:val="21"/>
        </w:rPr>
        <w:t>Approved MH Construction manuals and procedures.</w:t>
      </w:r>
    </w:p>
    <w:p>
      <w:pPr>
        <w:pStyle w:val="ListNumber"/>
        <w:spacing w:after="80" w:line="276" w:lineRule="auto"/>
        <w:ind w:left="461" w:hanging="259"/>
      </w:pPr>
      <w:r>
        <w:rPr>
          <w:rFonts w:ascii="Mendl Sans Dusk Regular" w:hAnsi="Mendl Sans Dusk Regular"/>
          <w:b w:val="0"/>
          <w:color w:val="202723"/>
          <w:sz w:val="21"/>
        </w:rPr>
        <w:t>Work instructions, checklists, TBTs and quick-reference aids.</w:t>
      </w:r>
    </w:p>
    <w:p>
      <w:r>
        <w:rPr>
          <w:rFonts w:ascii="Mendl Sans Dusk Regular" w:hAnsi="Mendl Sans Dusk Regular"/>
          <w:b w:val="0"/>
          <w:color w:val="202723"/>
          <w:sz w:val="21"/>
        </w:rPr>
        <w:t>An employee who identifies a conflict must stop the affected decision or task when safety, legality, quality or material cost is at risk and escalate it to the responsible manager.</w:t>
      </w:r>
    </w:p>
    <w:p>
      <w:pPr>
        <w:pStyle w:val="Heading2"/>
      </w:pPr>
      <w:r>
        <w:rPr>
          <w:rFonts w:ascii="Mendl Sans Dusk Medium" w:hAnsi="Mendl Sans Dusk Medium"/>
          <w:b w:val="0"/>
          <w:color w:val="628F79"/>
          <w:sz w:val="26"/>
        </w:rPr>
        <w:t>2. Values and operating principles</w:t>
      </w:r>
    </w:p>
    <w:p>
      <w:r>
        <w:rPr>
          <w:rFonts w:ascii="Mendl Sans Dusk Regular" w:hAnsi="Mendl Sans Dusk Regular"/>
          <w:b w:val="0"/>
          <w:color w:val="202723"/>
          <w:sz w:val="21"/>
        </w:rPr>
        <w:t>MH Construction's stated values - integrity, honesty, professionalism and thoroughness - are translated into operating behavior:</w:t>
      </w:r>
    </w:p>
    <w:p>
      <w:pPr>
        <w:pStyle w:val="ListBullet"/>
        <w:spacing w:after="80" w:line="276" w:lineRule="auto"/>
        <w:ind w:left="461" w:hanging="259"/>
      </w:pPr>
      <w:r>
        <w:rPr>
          <w:rFonts w:ascii="Mendl Sans Dusk Bold" w:hAnsi="Mendl Sans Dusk Bold"/>
          <w:b/>
          <w:color w:val="202723"/>
          <w:sz w:val="21"/>
        </w:rPr>
        <w:t>Integrity:</w:t>
      </w:r>
      <w:r>
        <w:rPr>
          <w:rFonts w:ascii="Mendl Sans Dusk Regular" w:hAnsi="Mendl Sans Dusk Regular"/>
          <w:b w:val="0"/>
          <w:color w:val="202723"/>
          <w:sz w:val="21"/>
        </w:rPr>
        <w:t xml:space="preserve"> Report facts accurately, including bad news, near misses, forecast losses, defects and missed commitments.</w:t>
      </w:r>
    </w:p>
    <w:p>
      <w:pPr>
        <w:pStyle w:val="ListBullet"/>
        <w:spacing w:after="80" w:line="276" w:lineRule="auto"/>
        <w:ind w:left="461" w:hanging="259"/>
      </w:pPr>
      <w:r>
        <w:rPr>
          <w:rFonts w:ascii="Mendl Sans Dusk Bold" w:hAnsi="Mendl Sans Dusk Bold"/>
          <w:b/>
          <w:color w:val="202723"/>
          <w:sz w:val="21"/>
        </w:rPr>
        <w:t>Honesty:</w:t>
      </w:r>
      <w:r>
        <w:rPr>
          <w:rFonts w:ascii="Mendl Sans Dusk Regular" w:hAnsi="Mendl Sans Dusk Regular"/>
          <w:b w:val="0"/>
          <w:color w:val="202723"/>
          <w:sz w:val="21"/>
        </w:rPr>
        <w:t xml:space="preserve"> Do not manipulate production, safety, cost, schedule, time, quality or billing records.</w:t>
      </w:r>
    </w:p>
    <w:p>
      <w:pPr>
        <w:pStyle w:val="ListBullet"/>
        <w:spacing w:after="80" w:line="276" w:lineRule="auto"/>
        <w:ind w:left="461" w:hanging="259"/>
      </w:pPr>
      <w:r>
        <w:rPr>
          <w:rFonts w:ascii="Mendl Sans Dusk Bold" w:hAnsi="Mendl Sans Dusk Bold"/>
          <w:b/>
          <w:color w:val="202723"/>
          <w:sz w:val="21"/>
        </w:rPr>
        <w:t>Professionalism:</w:t>
      </w:r>
      <w:r>
        <w:rPr>
          <w:rFonts w:ascii="Mendl Sans Dusk Regular" w:hAnsi="Mendl Sans Dusk Regular"/>
          <w:b w:val="0"/>
          <w:color w:val="202723"/>
          <w:sz w:val="21"/>
        </w:rPr>
        <w:t xml:space="preserve"> Communicate clearly, respect people, prepare before acting and protect client and company information.</w:t>
      </w:r>
    </w:p>
    <w:p>
      <w:pPr>
        <w:pStyle w:val="ListBullet"/>
        <w:spacing w:after="80" w:line="276" w:lineRule="auto"/>
        <w:ind w:left="461" w:hanging="259"/>
      </w:pPr>
      <w:r>
        <w:rPr>
          <w:rFonts w:ascii="Mendl Sans Dusk Bold" w:hAnsi="Mendl Sans Dusk Bold"/>
          <w:b/>
          <w:color w:val="202723"/>
          <w:sz w:val="21"/>
        </w:rPr>
        <w:t>Thoroughness:</w:t>
      </w:r>
      <w:r>
        <w:rPr>
          <w:rFonts w:ascii="Mendl Sans Dusk Regular" w:hAnsi="Mendl Sans Dusk Regular"/>
          <w:b w:val="0"/>
          <w:color w:val="202723"/>
          <w:sz w:val="21"/>
        </w:rPr>
        <w:t xml:space="preserve"> Complete the required review, verify critical assumptions and close the loop with evidence.</w:t>
      </w:r>
    </w:p>
    <w:p>
      <w:r>
        <w:rPr>
          <w:rFonts w:ascii="Mendl Sans Dusk Regular" w:hAnsi="Mendl Sans Dusk Regular"/>
          <w:b w:val="0"/>
          <w:color w:val="202723"/>
          <w:sz w:val="21"/>
        </w:rPr>
        <w:t>The company's relationship philosophy - building for the client, not merely for the dollar - does not waive commercial discipline. A handshake may express trust; only authorized written commitments change scope, price, schedule, risk or contract rights.</w:t>
      </w:r>
    </w:p>
    <w:p>
      <w:pPr>
        <w:pStyle w:val="Heading3"/>
      </w:pPr>
      <w:r>
        <w:rPr>
          <w:rFonts w:ascii="Mendl Sans Dusk Medium" w:hAnsi="Mendl Sans Dusk Medium"/>
          <w:b w:val="0"/>
          <w:color w:val="1E392C"/>
          <w:sz w:val="23"/>
        </w:rPr>
        <w:t>2.1 Stop, clarify and escalate</w:t>
      </w:r>
    </w:p>
    <w:p>
      <w:r>
        <w:rPr>
          <w:rFonts w:ascii="Mendl Sans Dusk Regular" w:hAnsi="Mendl Sans Dusk Regular"/>
          <w:b w:val="0"/>
          <w:color w:val="202723"/>
          <w:sz w:val="21"/>
        </w:rPr>
        <w:t>Every person has authority to pause work or a business process when there is a good-faith concern involving imminent danger, illegality, fraud, unethical conduct, material quality failure, cybersecurity compromise or unapproved commercial exposure. Good-faith reporting and stop-work actions will not result in retaliation.</w:t>
      </w:r>
    </w:p>
    <w:p>
      <w:pPr>
        <w:pStyle w:val="Heading3"/>
      </w:pPr>
      <w:r>
        <w:rPr>
          <w:rFonts w:ascii="Mendl Sans Dusk Medium" w:hAnsi="Mendl Sans Dusk Medium"/>
          <w:b w:val="0"/>
          <w:color w:val="1E392C"/>
          <w:sz w:val="23"/>
        </w:rPr>
        <w:t>2.2 Branded language and regulatory language</w:t>
      </w:r>
    </w:p>
    <w:p>
      <w:r>
        <w:rPr>
          <w:rFonts w:ascii="Mendl Sans Dusk Regular" w:hAnsi="Mendl Sans Dusk Regular"/>
          <w:b w:val="0"/>
          <w:color w:val="202723"/>
          <w:sz w:val="21"/>
        </w:rPr>
        <w:t>MH Construction may use branded operating terms to reinforce culture. Regulatory, contractual and professional terms must remain intact. “Competent Person,” “Qualified Person,” “Authorized Person,” “Employer,” “Employee,” “Subcontractor,” and other defined terms cannot be replaced in a way that changes their legal meaning.</w:t>
      </w:r>
    </w:p>
    <w:p>
      <w:r>
        <w:rPr>
          <w:rFonts w:ascii="Mendl Sans Dusk Regular" w:hAnsi="Mendl Sans Dusk Regular"/>
          <w:b w:val="0"/>
          <w:color w:val="202723"/>
          <w:sz w:val="21"/>
        </w:rPr>
        <w:t>The organization chart shall include a crosswalk from every branded title to the person's legal title, supervisor, delegated authority and backup.</w:t>
      </w:r>
    </w:p>
    <w:p>
      <w:pPr>
        <w:pStyle w:val="Heading2"/>
      </w:pPr>
      <w:r>
        <w:rPr>
          <w:rFonts w:ascii="Mendl Sans Dusk Medium" w:hAnsi="Mendl Sans Dusk Medium"/>
          <w:b w:val="0"/>
          <w:color w:val="628F79"/>
          <w:sz w:val="26"/>
        </w:rPr>
        <w:t>3. Governance structure</w:t>
      </w:r>
    </w:p>
    <w:p>
      <w:pPr>
        <w:pStyle w:val="Heading3"/>
      </w:pPr>
      <w:r>
        <w:rPr>
          <w:rFonts w:ascii="Mendl Sans Dusk Medium" w:hAnsi="Mendl Sans Dusk Medium"/>
          <w:b w:val="0"/>
          <w:color w:val="1E392C"/>
          <w:sz w:val="23"/>
        </w:rPr>
        <w:t>3.1 Core responsibilities</w:t>
      </w:r>
    </w:p>
    <w:tbl>
      <w:tblPr>
        <w:tblStyle w:val="TableGrid"/>
        <w:tblW w:type="auto" w:w="0"/>
        <w:jc w:val="left"/>
        <w:tblLayout w:type="fixed"/>
        <w:tblLook w:firstColumn="1" w:firstRow="1" w:lastColumn="0" w:lastRow="0" w:noHBand="0" w:noVBand="1" w:val="04A0"/>
      </w:tblPr>
      <w:tblGrid>
        <w:gridCol w:w="4939"/>
        <w:gridCol w:w="4939"/>
      </w:tblGrid>
      <w:tr>
        <w:tc>
          <w:tcPr>
            <w:tcW w:type="dxa" w:w="4053"/>
            <w:vAlign w:val="center"/>
            <w:tcMar>
              <w:top w:w="80" w:type="dxa"/>
              <w:start w:w="120" w:type="dxa"/>
              <w:bottom w:w="80" w:type="dxa"/>
              <w:end w:w="120" w:type="dxa"/>
            </w:tcMar>
            <w:shd w:fill="386851"/>
          </w:tcPr>
          <w:p>
            <w:pPr>
              <w:spacing w:after="0"/>
            </w:pPr>
            <w:r>
              <w:rPr>
                <w:rFonts w:ascii="Mendl Sans Dusk Bold" w:hAnsi="Mendl Sans Dusk Bold"/>
                <w:b/>
                <w:color w:val="FFFFFF"/>
                <w:sz w:val="16"/>
              </w:rPr>
              <w:t>Role</w:t>
            </w:r>
          </w:p>
        </w:tc>
        <w:tc>
          <w:tcPr>
            <w:tcW w:type="dxa" w:w="5307"/>
            <w:vAlign w:val="center"/>
            <w:tcMar>
              <w:top w:w="80" w:type="dxa"/>
              <w:start w:w="120" w:type="dxa"/>
              <w:bottom w:w="80" w:type="dxa"/>
              <w:end w:w="120" w:type="dxa"/>
            </w:tcMar>
            <w:shd w:fill="386851"/>
          </w:tcPr>
          <w:p>
            <w:pPr>
              <w:spacing w:after="0"/>
            </w:pPr>
            <w:r>
              <w:rPr>
                <w:rFonts w:ascii="Mendl Sans Dusk Bold" w:hAnsi="Mendl Sans Dusk Bold"/>
                <w:b/>
                <w:color w:val="FFFFFF"/>
                <w:sz w:val="16"/>
              </w:rPr>
              <w:t>Enterprise accountability</w:t>
            </w:r>
          </w:p>
        </w:tc>
      </w:tr>
      <w:tr>
        <w:tc>
          <w:tcPr>
            <w:tcW w:type="dxa" w:w="4053"/>
            <w:vAlign w:val="center"/>
            <w:tcMar>
              <w:top w:w="80" w:type="dxa"/>
              <w:start w:w="120" w:type="dxa"/>
              <w:bottom w:w="80" w:type="dxa"/>
              <w:end w:w="120" w:type="dxa"/>
            </w:tcMar>
          </w:tcPr>
          <w:p>
            <w:pPr>
              <w:spacing w:after="0"/>
            </w:pPr>
            <w:r>
              <w:rPr>
                <w:rFonts w:ascii="Mendl Sans Dusk Regular" w:hAnsi="Mendl Sans Dusk Regular"/>
                <w:b w:val="0"/>
                <w:color w:val="202723"/>
                <w:sz w:val="16"/>
              </w:rPr>
              <w:t>Jeremy Thamert, President/CEO - Acting COO</w:t>
            </w:r>
          </w:p>
        </w:tc>
        <w:tc>
          <w:tcPr>
            <w:tcW w:type="dxa" w:w="5307"/>
            <w:vAlign w:val="center"/>
            <w:tcMar>
              <w:top w:w="80" w:type="dxa"/>
              <w:start w:w="120" w:type="dxa"/>
              <w:bottom w:w="80" w:type="dxa"/>
              <w:end w:w="120" w:type="dxa"/>
            </w:tcMar>
          </w:tcPr>
          <w:p>
            <w:pPr>
              <w:spacing w:after="0"/>
            </w:pPr>
            <w:r>
              <w:rPr>
                <w:rFonts w:ascii="Mendl Sans Dusk Regular" w:hAnsi="Mendl Sans Dusk Regular"/>
                <w:b w:val="0"/>
                <w:color w:val="202723"/>
                <w:sz w:val="16"/>
              </w:rPr>
              <w:t>Ownership authority, strategy, culture, material commitments, policy approval, enterprise risk tolerance, operating system, project performance and management review.</w:t>
            </w:r>
          </w:p>
        </w:tc>
      </w:tr>
      <w:tr>
        <w:tc>
          <w:tcPr>
            <w:tcW w:type="dxa" w:w="4053"/>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CFO/financial lead</w:t>
            </w:r>
          </w:p>
        </w:tc>
        <w:tc>
          <w:tcPr>
            <w:tcW w:type="dxa" w:w="5307"/>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Cash, accounting, job cost, financial reporting, tax, banking, bonding support and financial controls.</w:t>
            </w:r>
          </w:p>
        </w:tc>
      </w:tr>
      <w:tr>
        <w:tc>
          <w:tcPr>
            <w:tcW w:type="dxa" w:w="4053"/>
            <w:vAlign w:val="center"/>
            <w:tcMar>
              <w:top w:w="80" w:type="dxa"/>
              <w:start w:w="120" w:type="dxa"/>
              <w:bottom w:w="80" w:type="dxa"/>
              <w:end w:w="120" w:type="dxa"/>
            </w:tcMar>
          </w:tcPr>
          <w:p>
            <w:pPr>
              <w:spacing w:after="0"/>
            </w:pPr>
            <w:r>
              <w:rPr>
                <w:rFonts w:ascii="Mendl Sans Dusk Regular" w:hAnsi="Mendl Sans Dusk Regular"/>
                <w:b w:val="0"/>
                <w:color w:val="202723"/>
                <w:sz w:val="16"/>
              </w:rPr>
              <w:t>HR lead</w:t>
            </w:r>
          </w:p>
        </w:tc>
        <w:tc>
          <w:tcPr>
            <w:tcW w:type="dxa" w:w="5307"/>
            <w:vAlign w:val="center"/>
            <w:tcMar>
              <w:top w:w="80" w:type="dxa"/>
              <w:start w:w="120" w:type="dxa"/>
              <w:bottom w:w="80" w:type="dxa"/>
              <w:end w:w="120" w:type="dxa"/>
            </w:tcMar>
          </w:tcPr>
          <w:p>
            <w:pPr>
              <w:spacing w:after="0"/>
            </w:pPr>
            <w:r>
              <w:rPr>
                <w:rFonts w:ascii="Mendl Sans Dusk Regular" w:hAnsi="Mendl Sans Dusk Regular"/>
                <w:b w:val="0"/>
                <w:color w:val="202723"/>
                <w:sz w:val="16"/>
              </w:rPr>
              <w:t>Employment practices, onboarding, employee records, workforce planning, development and handbook administration.</w:t>
            </w:r>
          </w:p>
        </w:tc>
      </w:tr>
      <w:tr>
        <w:tc>
          <w:tcPr>
            <w:tcW w:type="dxa" w:w="4053"/>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Matt Ramsey, CHENG</w:t>
            </w:r>
          </w:p>
        </w:tc>
        <w:tc>
          <w:tcPr>
            <w:tcW w:type="dxa" w:w="5307"/>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Safety programs, regulatory monitoring, training governance, audits, incident learning, field support, technology architecture and marketing governance.</w:t>
            </w:r>
          </w:p>
        </w:tc>
      </w:tr>
      <w:tr>
        <w:tc>
          <w:tcPr>
            <w:tcW w:type="dxa" w:w="4053"/>
            <w:vAlign w:val="center"/>
            <w:tcMar>
              <w:top w:w="80" w:type="dxa"/>
              <w:start w:w="120" w:type="dxa"/>
              <w:bottom w:w="80" w:type="dxa"/>
              <w:end w:w="120" w:type="dxa"/>
            </w:tcMar>
          </w:tcPr>
          <w:p>
            <w:pPr>
              <w:spacing w:after="0"/>
            </w:pPr>
            <w:r>
              <w:rPr>
                <w:rFonts w:ascii="Mendl Sans Dusk Regular" w:hAnsi="Mendl Sans Dusk Regular"/>
                <w:b w:val="0"/>
                <w:color w:val="202723"/>
                <w:sz w:val="16"/>
              </w:rPr>
              <w:t>Business-development lead</w:t>
            </w:r>
          </w:p>
        </w:tc>
        <w:tc>
          <w:tcPr>
            <w:tcW w:type="dxa" w:w="5307"/>
            <w:vAlign w:val="center"/>
            <w:tcMar>
              <w:top w:w="80" w:type="dxa"/>
              <w:start w:w="120" w:type="dxa"/>
              <w:bottom w:w="80" w:type="dxa"/>
              <w:end w:w="120" w:type="dxa"/>
            </w:tcMar>
          </w:tcPr>
          <w:p>
            <w:pPr>
              <w:spacing w:after="0"/>
            </w:pPr>
            <w:r>
              <w:rPr>
                <w:rFonts w:ascii="Mendl Sans Dusk Regular" w:hAnsi="Mendl Sans Dusk Regular"/>
                <w:b w:val="0"/>
                <w:color w:val="202723"/>
                <w:sz w:val="16"/>
              </w:rPr>
              <w:t>Market strategy, relationships, opportunity qualification and CRM integrity.</w:t>
            </w:r>
          </w:p>
        </w:tc>
      </w:tr>
      <w:tr>
        <w:tc>
          <w:tcPr>
            <w:tcW w:type="dxa" w:w="4053"/>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Estimating lead</w:t>
            </w:r>
          </w:p>
        </w:tc>
        <w:tc>
          <w:tcPr>
            <w:tcW w:type="dxa" w:w="5307"/>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Estimate accuracy, bid strategy, subcontractor coverage, assumptions and proposal quality.</w:t>
            </w:r>
          </w:p>
        </w:tc>
      </w:tr>
      <w:tr>
        <w:tc>
          <w:tcPr>
            <w:tcW w:type="dxa" w:w="4053"/>
            <w:vAlign w:val="center"/>
            <w:tcMar>
              <w:top w:w="80" w:type="dxa"/>
              <w:start w:w="120" w:type="dxa"/>
              <w:bottom w:w="80" w:type="dxa"/>
              <w:end w:w="120" w:type="dxa"/>
            </w:tcMar>
          </w:tcPr>
          <w:p>
            <w:pPr>
              <w:spacing w:after="0"/>
            </w:pPr>
            <w:r>
              <w:rPr>
                <w:rFonts w:ascii="Mendl Sans Dusk Regular" w:hAnsi="Mendl Sans Dusk Regular"/>
                <w:b w:val="0"/>
                <w:color w:val="202723"/>
                <w:sz w:val="16"/>
              </w:rPr>
              <w:t>Project manager</w:t>
            </w:r>
          </w:p>
        </w:tc>
        <w:tc>
          <w:tcPr>
            <w:tcW w:type="dxa" w:w="5307"/>
            <w:vAlign w:val="center"/>
            <w:tcMar>
              <w:top w:w="80" w:type="dxa"/>
              <w:start w:w="120" w:type="dxa"/>
              <w:bottom w:w="80" w:type="dxa"/>
              <w:end w:w="120" w:type="dxa"/>
            </w:tcMar>
          </w:tcPr>
          <w:p>
            <w:pPr>
              <w:spacing w:after="0"/>
            </w:pPr>
            <w:r>
              <w:rPr>
                <w:rFonts w:ascii="Mendl Sans Dusk Regular" w:hAnsi="Mendl Sans Dusk Regular"/>
                <w:b w:val="0"/>
                <w:color w:val="202723"/>
                <w:sz w:val="16"/>
              </w:rPr>
              <w:t>Contract, client, budget, commitments, changes, forecast, schedule and project outcome.</w:t>
            </w:r>
          </w:p>
        </w:tc>
      </w:tr>
      <w:tr>
        <w:tc>
          <w:tcPr>
            <w:tcW w:type="dxa" w:w="4053"/>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Superintendent</w:t>
            </w:r>
          </w:p>
        </w:tc>
        <w:tc>
          <w:tcPr>
            <w:tcW w:type="dxa" w:w="5307"/>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Field planning, coordination, daily execution, safety, quality, logistics and production evidence.</w:t>
            </w:r>
          </w:p>
        </w:tc>
      </w:tr>
      <w:tr>
        <w:tc>
          <w:tcPr>
            <w:tcW w:type="dxa" w:w="4053"/>
            <w:vAlign w:val="center"/>
            <w:tcMar>
              <w:top w:w="80" w:type="dxa"/>
              <w:start w:w="120" w:type="dxa"/>
              <w:bottom w:w="80" w:type="dxa"/>
              <w:end w:w="120" w:type="dxa"/>
            </w:tcMar>
          </w:tcPr>
          <w:p>
            <w:pPr>
              <w:spacing w:after="0"/>
            </w:pPr>
            <w:r>
              <w:rPr>
                <w:rFonts w:ascii="Mendl Sans Dusk Regular" w:hAnsi="Mendl Sans Dusk Regular"/>
                <w:b w:val="0"/>
                <w:color w:val="202723"/>
                <w:sz w:val="16"/>
              </w:rPr>
              <w:t>Project engineer/coordinator</w:t>
            </w:r>
          </w:p>
        </w:tc>
        <w:tc>
          <w:tcPr>
            <w:tcW w:type="dxa" w:w="5307"/>
            <w:vAlign w:val="center"/>
            <w:tcMar>
              <w:top w:w="80" w:type="dxa"/>
              <w:start w:w="120" w:type="dxa"/>
              <w:bottom w:w="80" w:type="dxa"/>
              <w:end w:w="120" w:type="dxa"/>
            </w:tcMar>
          </w:tcPr>
          <w:p>
            <w:pPr>
              <w:spacing w:after="0"/>
            </w:pPr>
            <w:r>
              <w:rPr>
                <w:rFonts w:ascii="Mendl Sans Dusk Regular" w:hAnsi="Mendl Sans Dusk Regular"/>
                <w:b w:val="0"/>
                <w:color w:val="202723"/>
                <w:sz w:val="16"/>
              </w:rPr>
              <w:t>Document control, RFIs, submittals, meeting records, logs and closeout administration.</w:t>
            </w:r>
          </w:p>
        </w:tc>
      </w:tr>
      <w:tr>
        <w:tc>
          <w:tcPr>
            <w:tcW w:type="dxa" w:w="4053"/>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IT lead</w:t>
            </w:r>
          </w:p>
        </w:tc>
        <w:tc>
          <w:tcPr>
            <w:tcW w:type="dxa" w:w="5307"/>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Identity, devices, systems, cybersecurity, data protection, resilience and technical support.</w:t>
            </w:r>
          </w:p>
        </w:tc>
      </w:tr>
      <w:tr>
        <w:tc>
          <w:tcPr>
            <w:tcW w:type="dxa" w:w="4053"/>
            <w:vAlign w:val="center"/>
            <w:tcMar>
              <w:top w:w="80" w:type="dxa"/>
              <w:start w:w="120" w:type="dxa"/>
              <w:bottom w:w="80" w:type="dxa"/>
              <w:end w:w="120" w:type="dxa"/>
            </w:tcMar>
          </w:tcPr>
          <w:p>
            <w:pPr>
              <w:spacing w:after="0"/>
            </w:pPr>
            <w:r>
              <w:rPr>
                <w:rFonts w:ascii="Mendl Sans Dusk Regular" w:hAnsi="Mendl Sans Dusk Regular"/>
                <w:b w:val="0"/>
                <w:color w:val="202723"/>
                <w:sz w:val="16"/>
              </w:rPr>
              <w:t>Quality lead or delegated PM</w:t>
            </w:r>
          </w:p>
        </w:tc>
        <w:tc>
          <w:tcPr>
            <w:tcW w:type="dxa" w:w="5307"/>
            <w:vAlign w:val="center"/>
            <w:tcMar>
              <w:top w:w="80" w:type="dxa"/>
              <w:start w:w="120" w:type="dxa"/>
              <w:bottom w:w="80" w:type="dxa"/>
              <w:end w:w="120" w:type="dxa"/>
            </w:tcMar>
          </w:tcPr>
          <w:p>
            <w:pPr>
              <w:spacing w:after="0"/>
            </w:pPr>
            <w:r>
              <w:rPr>
                <w:rFonts w:ascii="Mendl Sans Dusk Regular" w:hAnsi="Mendl Sans Dusk Regular"/>
                <w:b w:val="0"/>
                <w:color w:val="202723"/>
                <w:sz w:val="16"/>
              </w:rPr>
              <w:t>Inspection/test planning, hold points, NCR/CAPA and turnover quality.</w:t>
            </w:r>
          </w:p>
        </w:tc>
      </w:tr>
    </w:tbl>
    <w:p>
      <w:pPr>
        <w:spacing w:after="20"/>
      </w:pPr>
    </w:p>
    <w:p>
      <w:r>
        <w:rPr>
          <w:rFonts w:ascii="Mendl Sans Dusk Regular" w:hAnsi="Mendl Sans Dusk Regular"/>
          <w:b w:val="0"/>
          <w:color w:val="202723"/>
          <w:sz w:val="21"/>
        </w:rPr>
        <w:t>One person may fill multiple roles in a smaller organization. Combined roles do not eliminate segregation-of-duties controls. No person should request, approve, receive and pay the same purchase without independent review.</w:t>
      </w:r>
    </w:p>
    <w:p>
      <w:pPr>
        <w:pStyle w:val="Heading3"/>
      </w:pPr>
      <w:r>
        <w:rPr>
          <w:rFonts w:ascii="Mendl Sans Dusk Medium" w:hAnsi="Mendl Sans Dusk Medium"/>
          <w:b w:val="0"/>
          <w:color w:val="1E392C"/>
          <w:sz w:val="23"/>
        </w:rPr>
        <w:t>3.2 Delegation of authority</w:t>
      </w:r>
    </w:p>
    <w:p>
      <w:r>
        <w:rPr>
          <w:rFonts w:ascii="Mendl Sans Dusk Regular" w:hAnsi="Mendl Sans Dusk Regular"/>
          <w:b w:val="0"/>
          <w:color w:val="202723"/>
          <w:sz w:val="21"/>
        </w:rPr>
        <w:t>The company shall maintain a separate Approval Authority Matrix containing current monetary and non-monetary limits. At minimum, the matrix covers:</w:t>
      </w:r>
    </w:p>
    <w:p>
      <w:pPr>
        <w:pStyle w:val="ListBullet"/>
        <w:spacing w:after="80" w:line="276" w:lineRule="auto"/>
        <w:ind w:left="461" w:hanging="259"/>
      </w:pPr>
      <w:r>
        <w:rPr>
          <w:rFonts w:ascii="Mendl Sans Dusk Regular" w:hAnsi="Mendl Sans Dusk Regular"/>
          <w:b w:val="0"/>
          <w:color w:val="202723"/>
          <w:sz w:val="21"/>
        </w:rPr>
        <w:t>proposals, bid bonds and bid submissions;</w:t>
      </w:r>
    </w:p>
    <w:p>
      <w:pPr>
        <w:pStyle w:val="ListBullet"/>
        <w:spacing w:after="80" w:line="276" w:lineRule="auto"/>
        <w:ind w:left="461" w:hanging="259"/>
      </w:pPr>
      <w:r>
        <w:rPr>
          <w:rFonts w:ascii="Mendl Sans Dusk Regular" w:hAnsi="Mendl Sans Dusk Regular"/>
          <w:b w:val="0"/>
          <w:color w:val="202723"/>
          <w:sz w:val="21"/>
        </w:rPr>
        <w:t>owner contracts, subcontracts and purchase orders;</w:t>
      </w:r>
    </w:p>
    <w:p>
      <w:pPr>
        <w:pStyle w:val="ListBullet"/>
        <w:spacing w:after="80" w:line="276" w:lineRule="auto"/>
        <w:ind w:left="461" w:hanging="259"/>
      </w:pPr>
      <w:r>
        <w:rPr>
          <w:rFonts w:ascii="Mendl Sans Dusk Regular" w:hAnsi="Mendl Sans Dusk Regular"/>
          <w:b w:val="0"/>
          <w:color w:val="202723"/>
          <w:sz w:val="21"/>
        </w:rPr>
        <w:t>commitments, invoices, payroll changes and payments;</w:t>
      </w:r>
    </w:p>
    <w:p>
      <w:pPr>
        <w:pStyle w:val="ListBullet"/>
        <w:spacing w:after="80" w:line="276" w:lineRule="auto"/>
        <w:ind w:left="461" w:hanging="259"/>
      </w:pPr>
      <w:r>
        <w:rPr>
          <w:rFonts w:ascii="Mendl Sans Dusk Regular" w:hAnsi="Mendl Sans Dusk Regular"/>
          <w:b w:val="0"/>
          <w:color w:val="202723"/>
          <w:sz w:val="21"/>
        </w:rPr>
        <w:t>contingency use, write-offs and credit;</w:t>
      </w:r>
    </w:p>
    <w:p>
      <w:pPr>
        <w:pStyle w:val="ListBullet"/>
        <w:spacing w:after="80" w:line="276" w:lineRule="auto"/>
        <w:ind w:left="461" w:hanging="259"/>
      </w:pPr>
      <w:r>
        <w:rPr>
          <w:rFonts w:ascii="Mendl Sans Dusk Regular" w:hAnsi="Mendl Sans Dusk Regular"/>
          <w:b w:val="0"/>
          <w:color w:val="202723"/>
          <w:sz w:val="21"/>
        </w:rPr>
        <w:t>change requests and schedule commitments;</w:t>
      </w:r>
    </w:p>
    <w:p>
      <w:pPr>
        <w:pStyle w:val="ListBullet"/>
        <w:spacing w:after="80" w:line="276" w:lineRule="auto"/>
        <w:ind w:left="461" w:hanging="259"/>
      </w:pPr>
      <w:r>
        <w:rPr>
          <w:rFonts w:ascii="Mendl Sans Dusk Regular" w:hAnsi="Mendl Sans Dusk Regular"/>
          <w:b w:val="0"/>
          <w:color w:val="202723"/>
          <w:sz w:val="21"/>
        </w:rPr>
        <w:t>hiring, discipline, termination and compensation;</w:t>
      </w:r>
    </w:p>
    <w:p>
      <w:pPr>
        <w:pStyle w:val="ListBullet"/>
        <w:spacing w:after="80" w:line="276" w:lineRule="auto"/>
        <w:ind w:left="461" w:hanging="259"/>
      </w:pPr>
      <w:r>
        <w:rPr>
          <w:rFonts w:ascii="Mendl Sans Dusk Regular" w:hAnsi="Mendl Sans Dusk Regular"/>
          <w:b w:val="0"/>
          <w:color w:val="202723"/>
          <w:sz w:val="21"/>
        </w:rPr>
        <w:t>safety exceptions and technical-plan approvals;</w:t>
      </w:r>
    </w:p>
    <w:p>
      <w:pPr>
        <w:pStyle w:val="ListBullet"/>
        <w:spacing w:after="80" w:line="276" w:lineRule="auto"/>
        <w:ind w:left="461" w:hanging="259"/>
      </w:pPr>
      <w:r>
        <w:rPr>
          <w:rFonts w:ascii="Mendl Sans Dusk Regular" w:hAnsi="Mendl Sans Dusk Regular"/>
          <w:b w:val="0"/>
          <w:color w:val="202723"/>
          <w:sz w:val="21"/>
        </w:rPr>
        <w:t>system access and privileged access;</w:t>
      </w:r>
    </w:p>
    <w:p>
      <w:pPr>
        <w:pStyle w:val="ListBullet"/>
        <w:spacing w:after="80" w:line="276" w:lineRule="auto"/>
        <w:ind w:left="461" w:hanging="259"/>
      </w:pPr>
      <w:r>
        <w:rPr>
          <w:rFonts w:ascii="Mendl Sans Dusk Regular" w:hAnsi="Mendl Sans Dusk Regular"/>
          <w:b w:val="0"/>
          <w:color w:val="202723"/>
          <w:sz w:val="21"/>
        </w:rPr>
        <w:t>public statements and legal/regulatory communications.</w:t>
      </w:r>
    </w:p>
    <w:p>
      <w:r>
        <w:rPr>
          <w:rFonts w:ascii="Mendl Sans Dusk Regular" w:hAnsi="Mendl Sans Dusk Regular"/>
          <w:b w:val="0"/>
          <w:color w:val="202723"/>
          <w:sz w:val="21"/>
        </w:rPr>
        <w:t>Delegation must be written, time-limited, retained and communicated to affected users. An absence does not automatically transfer authority.</w:t>
      </w:r>
    </w:p>
    <w:p>
      <w:pPr>
        <w:pStyle w:val="Heading3"/>
      </w:pPr>
      <w:r>
        <w:rPr>
          <w:rFonts w:ascii="Mendl Sans Dusk Medium" w:hAnsi="Mendl Sans Dusk Medium"/>
          <w:b w:val="0"/>
          <w:color w:val="1E392C"/>
          <w:sz w:val="23"/>
        </w:rPr>
        <w:t>3.3 Management cadence</w:t>
      </w:r>
    </w:p>
    <w:tbl>
      <w:tblPr>
        <w:tblStyle w:val="TableGrid"/>
        <w:tblW w:type="auto" w:w="0"/>
        <w:jc w:val="left"/>
        <w:tblLayout w:type="fixed"/>
        <w:tblLook w:firstColumn="1" w:firstRow="1" w:lastColumn="0" w:lastRow="0" w:noHBand="0" w:noVBand="1" w:val="04A0"/>
      </w:tblPr>
      <w:tblGrid>
        <w:gridCol w:w="4939"/>
        <w:gridCol w:w="4939"/>
      </w:tblGrid>
      <w:tr>
        <w:tc>
          <w:tcPr>
            <w:tcW w:type="dxa" w:w="2844"/>
            <w:vAlign w:val="center"/>
            <w:tcMar>
              <w:top w:w="80" w:type="dxa"/>
              <w:start w:w="120" w:type="dxa"/>
              <w:bottom w:w="80" w:type="dxa"/>
              <w:end w:w="120" w:type="dxa"/>
            </w:tcMar>
            <w:shd w:fill="386851"/>
          </w:tcPr>
          <w:p>
            <w:pPr>
              <w:spacing w:after="0"/>
            </w:pPr>
            <w:r>
              <w:rPr>
                <w:rFonts w:ascii="Mendl Sans Dusk Bold" w:hAnsi="Mendl Sans Dusk Bold"/>
                <w:b/>
                <w:color w:val="FFFFFF"/>
                <w:sz w:val="16"/>
              </w:rPr>
              <w:t>Cadence</w:t>
            </w:r>
          </w:p>
        </w:tc>
        <w:tc>
          <w:tcPr>
            <w:tcW w:type="dxa" w:w="6516"/>
            <w:vAlign w:val="center"/>
            <w:tcMar>
              <w:top w:w="80" w:type="dxa"/>
              <w:start w:w="120" w:type="dxa"/>
              <w:bottom w:w="80" w:type="dxa"/>
              <w:end w:w="120" w:type="dxa"/>
            </w:tcMar>
            <w:shd w:fill="386851"/>
          </w:tcPr>
          <w:p>
            <w:pPr>
              <w:spacing w:after="0"/>
            </w:pPr>
            <w:r>
              <w:rPr>
                <w:rFonts w:ascii="Mendl Sans Dusk Bold" w:hAnsi="Mendl Sans Dusk Bold"/>
                <w:b/>
                <w:color w:val="FFFFFF"/>
                <w:sz w:val="16"/>
              </w:rPr>
              <w:t>Minimum agenda</w:t>
            </w:r>
          </w:p>
        </w:tc>
      </w:tr>
      <w:tr>
        <w:tc>
          <w:tcPr>
            <w:tcW w:type="dxa" w:w="2844"/>
            <w:vAlign w:val="center"/>
            <w:tcMar>
              <w:top w:w="80" w:type="dxa"/>
              <w:start w:w="120" w:type="dxa"/>
              <w:bottom w:w="80" w:type="dxa"/>
              <w:end w:w="120" w:type="dxa"/>
            </w:tcMar>
          </w:tcPr>
          <w:p>
            <w:pPr>
              <w:spacing w:after="0"/>
            </w:pPr>
            <w:r>
              <w:rPr>
                <w:rFonts w:ascii="Mendl Sans Dusk Regular" w:hAnsi="Mendl Sans Dusk Regular"/>
                <w:b w:val="0"/>
                <w:color w:val="202723"/>
                <w:sz w:val="16"/>
              </w:rPr>
              <w:t>Daily project</w:t>
            </w:r>
          </w:p>
        </w:tc>
        <w:tc>
          <w:tcPr>
            <w:tcW w:type="dxa" w:w="6516"/>
            <w:vAlign w:val="center"/>
            <w:tcMar>
              <w:top w:w="80" w:type="dxa"/>
              <w:start w:w="120" w:type="dxa"/>
              <w:bottom w:w="80" w:type="dxa"/>
              <w:end w:w="120" w:type="dxa"/>
            </w:tcMar>
          </w:tcPr>
          <w:p>
            <w:pPr>
              <w:spacing w:after="0"/>
            </w:pPr>
            <w:r>
              <w:rPr>
                <w:rFonts w:ascii="Mendl Sans Dusk Regular" w:hAnsi="Mendl Sans Dusk Regular"/>
                <w:b w:val="0"/>
                <w:color w:val="202723"/>
                <w:sz w:val="16"/>
              </w:rPr>
              <w:t>Safety, planned work, constraints, deliveries, inspections, coordination and changes.</w:t>
            </w:r>
          </w:p>
        </w:tc>
      </w:tr>
      <w:tr>
        <w:tc>
          <w:tcPr>
            <w:tcW w:type="dxa" w:w="284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Weekly operations</w:t>
            </w:r>
          </w:p>
        </w:tc>
        <w:tc>
          <w:tcPr>
            <w:tcW w:type="dxa" w:w="651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Safety, quality, schedule, cost, changes, procurement, staffing, client issues and decisions.</w:t>
            </w:r>
          </w:p>
        </w:tc>
      </w:tr>
      <w:tr>
        <w:tc>
          <w:tcPr>
            <w:tcW w:type="dxa" w:w="2844"/>
            <w:vAlign w:val="center"/>
            <w:tcMar>
              <w:top w:w="80" w:type="dxa"/>
              <w:start w:w="120" w:type="dxa"/>
              <w:bottom w:w="80" w:type="dxa"/>
              <w:end w:w="120" w:type="dxa"/>
            </w:tcMar>
          </w:tcPr>
          <w:p>
            <w:pPr>
              <w:spacing w:after="0"/>
            </w:pPr>
            <w:r>
              <w:rPr>
                <w:rFonts w:ascii="Mendl Sans Dusk Regular" w:hAnsi="Mendl Sans Dusk Regular"/>
                <w:b w:val="0"/>
                <w:color w:val="202723"/>
                <w:sz w:val="16"/>
              </w:rPr>
              <w:t>Monthly financial</w:t>
            </w:r>
          </w:p>
        </w:tc>
        <w:tc>
          <w:tcPr>
            <w:tcW w:type="dxa" w:w="6516"/>
            <w:vAlign w:val="center"/>
            <w:tcMar>
              <w:top w:w="80" w:type="dxa"/>
              <w:start w:w="120" w:type="dxa"/>
              <w:bottom w:w="80" w:type="dxa"/>
              <w:end w:w="120" w:type="dxa"/>
            </w:tcMar>
          </w:tcPr>
          <w:p>
            <w:pPr>
              <w:spacing w:after="0"/>
            </w:pPr>
            <w:r>
              <w:rPr>
                <w:rFonts w:ascii="Mendl Sans Dusk Regular" w:hAnsi="Mendl Sans Dusk Regular"/>
                <w:b w:val="0"/>
                <w:color w:val="202723"/>
                <w:sz w:val="16"/>
              </w:rPr>
              <w:t>Cash, AR/AP, WIP, forecast, backlog, margin movement, under/over billing and risk.</w:t>
            </w:r>
          </w:p>
        </w:tc>
      </w:tr>
      <w:tr>
        <w:tc>
          <w:tcPr>
            <w:tcW w:type="dxa" w:w="284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Monthly pipeline</w:t>
            </w:r>
          </w:p>
        </w:tc>
        <w:tc>
          <w:tcPr>
            <w:tcW w:type="dxa" w:w="651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Opportunities, go/no-go, hit rate, capacity, client strategy and proposal lessons.</w:t>
            </w:r>
          </w:p>
        </w:tc>
      </w:tr>
      <w:tr>
        <w:tc>
          <w:tcPr>
            <w:tcW w:type="dxa" w:w="2844"/>
            <w:vAlign w:val="center"/>
            <w:tcMar>
              <w:top w:w="80" w:type="dxa"/>
              <w:start w:w="120" w:type="dxa"/>
              <w:bottom w:w="80" w:type="dxa"/>
              <w:end w:w="120" w:type="dxa"/>
            </w:tcMar>
          </w:tcPr>
          <w:p>
            <w:pPr>
              <w:spacing w:after="0"/>
            </w:pPr>
            <w:r>
              <w:rPr>
                <w:rFonts w:ascii="Mendl Sans Dusk Regular" w:hAnsi="Mendl Sans Dusk Regular"/>
                <w:b w:val="0"/>
                <w:color w:val="202723"/>
                <w:sz w:val="16"/>
              </w:rPr>
              <w:t>Quarterly risk</w:t>
            </w:r>
          </w:p>
        </w:tc>
        <w:tc>
          <w:tcPr>
            <w:tcW w:type="dxa" w:w="6516"/>
            <w:vAlign w:val="center"/>
            <w:tcMar>
              <w:top w:w="80" w:type="dxa"/>
              <w:start w:w="120" w:type="dxa"/>
              <w:bottom w:w="80" w:type="dxa"/>
              <w:end w:w="120" w:type="dxa"/>
            </w:tcMar>
          </w:tcPr>
          <w:p>
            <w:pPr>
              <w:spacing w:after="0"/>
            </w:pPr>
            <w:r>
              <w:rPr>
                <w:rFonts w:ascii="Mendl Sans Dusk Regular" w:hAnsi="Mendl Sans Dusk Regular"/>
                <w:b w:val="0"/>
                <w:color w:val="202723"/>
                <w:sz w:val="16"/>
              </w:rPr>
              <w:t>Insurance, claims, contracts, licensing, cybersecurity, continuity, compliance and top risks.</w:t>
            </w:r>
          </w:p>
        </w:tc>
      </w:tr>
      <w:tr>
        <w:tc>
          <w:tcPr>
            <w:tcW w:type="dxa" w:w="284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Quarterly safety/quality</w:t>
            </w:r>
          </w:p>
        </w:tc>
        <w:tc>
          <w:tcPr>
            <w:tcW w:type="dxa" w:w="651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Trends, incidents, audit findings, NCR/CAPA, training and program changes.</w:t>
            </w:r>
          </w:p>
        </w:tc>
      </w:tr>
      <w:tr>
        <w:tc>
          <w:tcPr>
            <w:tcW w:type="dxa" w:w="2844"/>
            <w:vAlign w:val="center"/>
            <w:tcMar>
              <w:top w:w="80" w:type="dxa"/>
              <w:start w:w="120" w:type="dxa"/>
              <w:bottom w:w="80" w:type="dxa"/>
              <w:end w:w="120" w:type="dxa"/>
            </w:tcMar>
          </w:tcPr>
          <w:p>
            <w:pPr>
              <w:spacing w:after="0"/>
            </w:pPr>
            <w:r>
              <w:rPr>
                <w:rFonts w:ascii="Mendl Sans Dusk Regular" w:hAnsi="Mendl Sans Dusk Regular"/>
                <w:b w:val="0"/>
                <w:color w:val="202723"/>
                <w:sz w:val="16"/>
              </w:rPr>
              <w:t>Annual management review</w:t>
            </w:r>
          </w:p>
        </w:tc>
        <w:tc>
          <w:tcPr>
            <w:tcW w:type="dxa" w:w="6516"/>
            <w:vAlign w:val="center"/>
            <w:tcMar>
              <w:top w:w="80" w:type="dxa"/>
              <w:start w:w="120" w:type="dxa"/>
              <w:bottom w:w="80" w:type="dxa"/>
              <w:end w:w="120" w:type="dxa"/>
            </w:tcMar>
          </w:tcPr>
          <w:p>
            <w:pPr>
              <w:spacing w:after="0"/>
            </w:pPr>
            <w:r>
              <w:rPr>
                <w:rFonts w:ascii="Mendl Sans Dusk Regular" w:hAnsi="Mendl Sans Dusk Regular"/>
                <w:b w:val="0"/>
                <w:color w:val="202723"/>
                <w:sz w:val="16"/>
              </w:rPr>
              <w:t>EMS effectiveness, objectives, resources, audit results, stakeholder needs and approved revisions.</w:t>
            </w:r>
          </w:p>
        </w:tc>
      </w:tr>
    </w:tbl>
    <w:p>
      <w:pPr>
        <w:spacing w:after="20"/>
      </w:pPr>
    </w:p>
    <w:p>
      <w:r>
        <w:rPr>
          <w:rFonts w:ascii="Mendl Sans Dusk Regular" w:hAnsi="Mendl Sans Dusk Regular"/>
          <w:b w:val="0"/>
          <w:color w:val="202723"/>
          <w:sz w:val="21"/>
        </w:rPr>
        <w:t>Meetings must create decisions, owners and due dates. Repeated discussion without closure is a control failure.</w:t>
      </w:r>
    </w:p>
    <w:p>
      <w:pPr>
        <w:pStyle w:val="Heading2"/>
      </w:pPr>
      <w:r>
        <w:rPr>
          <w:rFonts w:ascii="Mendl Sans Dusk Medium" w:hAnsi="Mendl Sans Dusk Medium"/>
          <w:b w:val="0"/>
          <w:color w:val="628F79"/>
          <w:sz w:val="26"/>
        </w:rPr>
        <w:t>4. Strategy and annual planning</w:t>
      </w:r>
    </w:p>
    <w:p>
      <w:r>
        <w:rPr>
          <w:rFonts w:ascii="Mendl Sans Dusk Regular" w:hAnsi="Mendl Sans Dusk Regular"/>
          <w:b w:val="0"/>
          <w:color w:val="202723"/>
          <w:sz w:val="21"/>
        </w:rPr>
        <w:t>Leadership shall approve an annual plan that converts strategy into measurable priorities. The plan includes:</w:t>
      </w:r>
    </w:p>
    <w:p>
      <w:pPr>
        <w:pStyle w:val="ListBullet"/>
        <w:spacing w:after="80" w:line="276" w:lineRule="auto"/>
        <w:ind w:left="461" w:hanging="259"/>
      </w:pPr>
      <w:r>
        <w:rPr>
          <w:rFonts w:ascii="Mendl Sans Dusk Regular" w:hAnsi="Mendl Sans Dusk Regular"/>
          <w:b w:val="0"/>
          <w:color w:val="202723"/>
          <w:sz w:val="21"/>
        </w:rPr>
        <w:t>target markets, geography, project types and client profiles;</w:t>
      </w:r>
    </w:p>
    <w:p>
      <w:pPr>
        <w:pStyle w:val="ListBullet"/>
        <w:spacing w:after="80" w:line="276" w:lineRule="auto"/>
        <w:ind w:left="461" w:hanging="259"/>
      </w:pPr>
      <w:r>
        <w:rPr>
          <w:rFonts w:ascii="Mendl Sans Dusk Regular" w:hAnsi="Mendl Sans Dusk Regular"/>
          <w:b w:val="0"/>
          <w:color w:val="202723"/>
          <w:sz w:val="21"/>
        </w:rPr>
        <w:t>revenue, gross-margin, cash and backlog objectives;</w:t>
      </w:r>
    </w:p>
    <w:p>
      <w:pPr>
        <w:pStyle w:val="ListBullet"/>
        <w:spacing w:after="80" w:line="276" w:lineRule="auto"/>
        <w:ind w:left="461" w:hanging="259"/>
      </w:pPr>
      <w:r>
        <w:rPr>
          <w:rFonts w:ascii="Mendl Sans Dusk Regular" w:hAnsi="Mendl Sans Dusk Regular"/>
          <w:b w:val="0"/>
          <w:color w:val="202723"/>
          <w:sz w:val="21"/>
        </w:rPr>
        <w:t>bonding, licensing, insurance and working-capital capacity;</w:t>
      </w:r>
    </w:p>
    <w:p>
      <w:pPr>
        <w:pStyle w:val="ListBullet"/>
        <w:spacing w:after="80" w:line="276" w:lineRule="auto"/>
        <w:ind w:left="461" w:hanging="259"/>
      </w:pPr>
      <w:r>
        <w:rPr>
          <w:rFonts w:ascii="Mendl Sans Dusk Regular" w:hAnsi="Mendl Sans Dusk Regular"/>
          <w:b w:val="0"/>
          <w:color w:val="202723"/>
          <w:sz w:val="21"/>
        </w:rPr>
        <w:t>people, equipment, technology and subcontractor capacity;</w:t>
      </w:r>
    </w:p>
    <w:p>
      <w:pPr>
        <w:pStyle w:val="ListBullet"/>
        <w:spacing w:after="80" w:line="276" w:lineRule="auto"/>
        <w:ind w:left="461" w:hanging="259"/>
      </w:pPr>
      <w:r>
        <w:rPr>
          <w:rFonts w:ascii="Mendl Sans Dusk Regular" w:hAnsi="Mendl Sans Dusk Regular"/>
          <w:b w:val="0"/>
          <w:color w:val="202723"/>
          <w:sz w:val="21"/>
        </w:rPr>
        <w:t>safety and quality objectives;</w:t>
      </w:r>
    </w:p>
    <w:p>
      <w:pPr>
        <w:pStyle w:val="ListBullet"/>
        <w:spacing w:after="80" w:line="276" w:lineRule="auto"/>
        <w:ind w:left="461" w:hanging="259"/>
      </w:pPr>
      <w:r>
        <w:rPr>
          <w:rFonts w:ascii="Mendl Sans Dusk Regular" w:hAnsi="Mendl Sans Dusk Regular"/>
          <w:b w:val="0"/>
          <w:color w:val="202723"/>
          <w:sz w:val="21"/>
        </w:rPr>
        <w:t>strategic risks and mitigation;</w:t>
      </w:r>
    </w:p>
    <w:p>
      <w:pPr>
        <w:pStyle w:val="ListBullet"/>
        <w:spacing w:after="80" w:line="276" w:lineRule="auto"/>
        <w:ind w:left="461" w:hanging="259"/>
      </w:pPr>
      <w:r>
        <w:rPr>
          <w:rFonts w:ascii="Mendl Sans Dusk Regular" w:hAnsi="Mendl Sans Dusk Regular"/>
          <w:b w:val="0"/>
          <w:color w:val="202723"/>
          <w:sz w:val="21"/>
        </w:rPr>
        <w:t>capital expenditures and major system investments;</w:t>
      </w:r>
    </w:p>
    <w:p>
      <w:pPr>
        <w:pStyle w:val="ListBullet"/>
        <w:spacing w:after="80" w:line="276" w:lineRule="auto"/>
        <w:ind w:left="461" w:hanging="259"/>
      </w:pPr>
      <w:r>
        <w:rPr>
          <w:rFonts w:ascii="Mendl Sans Dusk Regular" w:hAnsi="Mendl Sans Dusk Regular"/>
          <w:b w:val="0"/>
          <w:color w:val="202723"/>
          <w:sz w:val="21"/>
        </w:rPr>
        <w:t>accountable executive and quarterly milestones for each priority.</w:t>
      </w:r>
    </w:p>
    <w:p>
      <w:r>
        <w:rPr>
          <w:rFonts w:ascii="Mendl Sans Dusk Regular" w:hAnsi="Mendl Sans Dusk Regular"/>
          <w:b w:val="0"/>
          <w:color w:val="202723"/>
          <w:sz w:val="21"/>
        </w:rPr>
        <w:t>New geography, delivery method, project size or risk class requires a capability review before pursuit. Growth may not exceed the company's ability to supervise work, finance commitments, manage safety, control quality and close projects.</w:t>
      </w:r>
    </w:p>
    <w:p>
      <w:pPr>
        <w:pStyle w:val="Heading1"/>
      </w:pPr>
      <w:r>
        <w:rPr>
          <w:rFonts w:ascii="Mendl Sans Dusk Bold" w:hAnsi="Mendl Sans Dusk Bold"/>
          <w:b/>
          <w:color w:val="386851"/>
          <w:sz w:val="32"/>
        </w:rPr>
        <w:t>Part II - Opportunity through contract</w:t>
      </w:r>
    </w:p>
    <w:p>
      <w:pPr>
        <w:pStyle w:val="Heading2"/>
      </w:pPr>
      <w:r>
        <w:rPr>
          <w:rFonts w:ascii="Mendl Sans Dusk Medium" w:hAnsi="Mendl Sans Dusk Medium"/>
          <w:b w:val="0"/>
          <w:color w:val="628F79"/>
          <w:sz w:val="26"/>
        </w:rPr>
        <w:t>5. Marketing and business development</w:t>
      </w:r>
    </w:p>
    <w:p>
      <w:pPr>
        <w:pStyle w:val="Heading3"/>
      </w:pPr>
      <w:r>
        <w:rPr>
          <w:rFonts w:ascii="Mendl Sans Dusk Medium" w:hAnsi="Mendl Sans Dusk Medium"/>
          <w:b w:val="0"/>
          <w:color w:val="1E392C"/>
          <w:sz w:val="23"/>
        </w:rPr>
        <w:t>5.1 Market and brand control</w:t>
      </w:r>
    </w:p>
    <w:p>
      <w:r>
        <w:rPr>
          <w:rFonts w:ascii="Mendl Sans Dusk Regular" w:hAnsi="Mendl Sans Dusk Regular"/>
          <w:b w:val="0"/>
          <w:color w:val="202723"/>
          <w:sz w:val="21"/>
        </w:rPr>
        <w:t>Marketing shall communicate verified capabilities and project facts. Claims about safety, certifications, past performance, client outcomes, licenses, bonding or self-perform capacity must be supported by current evidence.</w:t>
      </w:r>
    </w:p>
    <w:p>
      <w:r>
        <w:rPr>
          <w:rFonts w:ascii="Mendl Sans Dusk Regular" w:hAnsi="Mendl Sans Dusk Regular"/>
          <w:b w:val="0"/>
          <w:color w:val="202723"/>
          <w:sz w:val="21"/>
        </w:rPr>
        <w:t>The Brand Standards Guide shall control logos, colors, typography, photography, voice and approvals. Safety or regulatory terms may not be altered for marketing effect in controlled safety documents.</w:t>
      </w:r>
    </w:p>
    <w:p>
      <w:pPr>
        <w:pStyle w:val="Heading3"/>
      </w:pPr>
      <w:r>
        <w:rPr>
          <w:rFonts w:ascii="Mendl Sans Dusk Medium" w:hAnsi="Mendl Sans Dusk Medium"/>
          <w:b w:val="0"/>
          <w:color w:val="1E392C"/>
          <w:sz w:val="23"/>
        </w:rPr>
        <w:t>5.2 CRM requirements</w:t>
      </w:r>
    </w:p>
    <w:p>
      <w:r>
        <w:rPr>
          <w:rFonts w:ascii="Mendl Sans Dusk Regular" w:hAnsi="Mendl Sans Dusk Regular"/>
          <w:b w:val="0"/>
          <w:color w:val="202723"/>
          <w:sz w:val="21"/>
        </w:rPr>
        <w:t>Every qualified opportunity shall be recorded in the approved CRM with:</w:t>
      </w:r>
    </w:p>
    <w:p>
      <w:pPr>
        <w:pStyle w:val="ListBullet"/>
        <w:spacing w:after="80" w:line="276" w:lineRule="auto"/>
        <w:ind w:left="461" w:hanging="259"/>
      </w:pPr>
      <w:r>
        <w:rPr>
          <w:rFonts w:ascii="Mendl Sans Dusk Regular" w:hAnsi="Mendl Sans Dusk Regular"/>
          <w:b w:val="0"/>
          <w:color w:val="202723"/>
          <w:sz w:val="21"/>
        </w:rPr>
        <w:t>client, contact and relationship owner;</w:t>
      </w:r>
    </w:p>
    <w:p>
      <w:pPr>
        <w:pStyle w:val="ListBullet"/>
        <w:spacing w:after="80" w:line="276" w:lineRule="auto"/>
        <w:ind w:left="461" w:hanging="259"/>
      </w:pPr>
      <w:r>
        <w:rPr>
          <w:rFonts w:ascii="Mendl Sans Dusk Regular" w:hAnsi="Mendl Sans Dusk Regular"/>
          <w:b w:val="0"/>
          <w:color w:val="202723"/>
          <w:sz w:val="21"/>
        </w:rPr>
        <w:t>project, location, delivery method and estimated size;</w:t>
      </w:r>
    </w:p>
    <w:p>
      <w:pPr>
        <w:pStyle w:val="ListBullet"/>
        <w:spacing w:after="80" w:line="276" w:lineRule="auto"/>
        <w:ind w:left="461" w:hanging="259"/>
      </w:pPr>
      <w:r>
        <w:rPr>
          <w:rFonts w:ascii="Mendl Sans Dusk Regular" w:hAnsi="Mendl Sans Dusk Regular"/>
          <w:b w:val="0"/>
          <w:color w:val="202723"/>
          <w:sz w:val="21"/>
        </w:rPr>
        <w:t>source and strategic fit;</w:t>
      </w:r>
    </w:p>
    <w:p>
      <w:pPr>
        <w:pStyle w:val="ListBullet"/>
        <w:spacing w:after="80" w:line="276" w:lineRule="auto"/>
        <w:ind w:left="461" w:hanging="259"/>
      </w:pPr>
      <w:r>
        <w:rPr>
          <w:rFonts w:ascii="Mendl Sans Dusk Regular" w:hAnsi="Mendl Sans Dusk Regular"/>
          <w:b w:val="0"/>
          <w:color w:val="202723"/>
          <w:sz w:val="21"/>
        </w:rPr>
        <w:t>bid date and decision milestones;</w:t>
      </w:r>
    </w:p>
    <w:p>
      <w:pPr>
        <w:pStyle w:val="ListBullet"/>
        <w:spacing w:after="80" w:line="276" w:lineRule="auto"/>
        <w:ind w:left="461" w:hanging="259"/>
      </w:pPr>
      <w:r>
        <w:rPr>
          <w:rFonts w:ascii="Mendl Sans Dusk Regular" w:hAnsi="Mendl Sans Dusk Regular"/>
          <w:b w:val="0"/>
          <w:color w:val="202723"/>
          <w:sz w:val="21"/>
        </w:rPr>
        <w:t>competition and incumbent information when known;</w:t>
      </w:r>
    </w:p>
    <w:p>
      <w:pPr>
        <w:pStyle w:val="ListBullet"/>
        <w:spacing w:after="80" w:line="276" w:lineRule="auto"/>
        <w:ind w:left="461" w:hanging="259"/>
      </w:pPr>
      <w:r>
        <w:rPr>
          <w:rFonts w:ascii="Mendl Sans Dusk Regular" w:hAnsi="Mendl Sans Dusk Regular"/>
          <w:b w:val="0"/>
          <w:color w:val="202723"/>
          <w:sz w:val="21"/>
        </w:rPr>
        <w:t>next action, owner and date;</w:t>
      </w:r>
    </w:p>
    <w:p>
      <w:pPr>
        <w:pStyle w:val="ListBullet"/>
        <w:spacing w:after="80" w:line="276" w:lineRule="auto"/>
        <w:ind w:left="461" w:hanging="259"/>
      </w:pPr>
      <w:r>
        <w:rPr>
          <w:rFonts w:ascii="Mendl Sans Dusk Regular" w:hAnsi="Mendl Sans Dusk Regular"/>
          <w:b w:val="0"/>
          <w:color w:val="202723"/>
          <w:sz w:val="21"/>
        </w:rPr>
        <w:t>disposition and loss reason.</w:t>
      </w:r>
    </w:p>
    <w:p>
      <w:r>
        <w:rPr>
          <w:rFonts w:ascii="Mendl Sans Dusk Regular" w:hAnsi="Mendl Sans Dusk Regular"/>
          <w:b w:val="0"/>
          <w:color w:val="202723"/>
          <w:sz w:val="21"/>
        </w:rPr>
        <w:t>The CRM is the opportunity system of record. Personal notes, email and spreadsheets may support the process but do not replace required CRM fields.</w:t>
      </w:r>
    </w:p>
    <w:p>
      <w:pPr>
        <w:pStyle w:val="Heading3"/>
      </w:pPr>
      <w:r>
        <w:rPr>
          <w:rFonts w:ascii="Mendl Sans Dusk Medium" w:hAnsi="Mendl Sans Dusk Medium"/>
          <w:b w:val="0"/>
          <w:color w:val="1E392C"/>
          <w:sz w:val="23"/>
        </w:rPr>
        <w:t>5.3 Marketing-to-sales and sales-to-estimating handoffs</w:t>
      </w:r>
    </w:p>
    <w:p>
      <w:r>
        <w:rPr>
          <w:rFonts w:ascii="Mendl Sans Dusk Regular" w:hAnsi="Mendl Sans Dusk Regular"/>
          <w:b w:val="0"/>
          <w:color w:val="202723"/>
          <w:sz w:val="21"/>
        </w:rPr>
        <w:t>Handoffs shall identify the client problem, relationship history, decision criteria, project constraints, commitments already made, approved messages, and next action. No lead is considered transferred until the receiving owner accepts it.</w:t>
      </w:r>
    </w:p>
    <w:p>
      <w:pPr>
        <w:pStyle w:val="Heading2"/>
      </w:pPr>
      <w:r>
        <w:rPr>
          <w:rFonts w:ascii="Mendl Sans Dusk Medium" w:hAnsi="Mendl Sans Dusk Medium"/>
          <w:b w:val="0"/>
          <w:color w:val="628F79"/>
          <w:sz w:val="26"/>
        </w:rPr>
        <w:t>6. Opportunity qualification and go/no-go</w:t>
      </w:r>
    </w:p>
    <w:p>
      <w:r>
        <w:rPr>
          <w:rFonts w:ascii="Mendl Sans Dusk Regular" w:hAnsi="Mendl Sans Dusk Regular"/>
          <w:b w:val="0"/>
          <w:color w:val="202723"/>
          <w:sz w:val="21"/>
        </w:rPr>
        <w:t>Every material pursuit shall receive a documented go/no-go review proportional to risk. The review considers:</w:t>
      </w:r>
    </w:p>
    <w:p>
      <w:pPr>
        <w:pStyle w:val="ListBullet"/>
        <w:spacing w:after="80" w:line="276" w:lineRule="auto"/>
        <w:ind w:left="461" w:hanging="259"/>
      </w:pPr>
      <w:r>
        <w:rPr>
          <w:rFonts w:ascii="Mendl Sans Dusk Regular" w:hAnsi="Mendl Sans Dusk Regular"/>
          <w:b w:val="0"/>
          <w:color w:val="202723"/>
          <w:sz w:val="21"/>
        </w:rPr>
        <w:t>strategic and client fit;</w:t>
      </w:r>
    </w:p>
    <w:p>
      <w:pPr>
        <w:pStyle w:val="ListBullet"/>
        <w:spacing w:after="80" w:line="276" w:lineRule="auto"/>
        <w:ind w:left="461" w:hanging="259"/>
      </w:pPr>
      <w:r>
        <w:rPr>
          <w:rFonts w:ascii="Mendl Sans Dusk Regular" w:hAnsi="Mendl Sans Dusk Regular"/>
          <w:b w:val="0"/>
          <w:color w:val="202723"/>
          <w:sz w:val="21"/>
        </w:rPr>
        <w:t>scope clarity and delivery method;</w:t>
      </w:r>
    </w:p>
    <w:p>
      <w:pPr>
        <w:pStyle w:val="ListBullet"/>
        <w:spacing w:after="80" w:line="276" w:lineRule="auto"/>
        <w:ind w:left="461" w:hanging="259"/>
      </w:pPr>
      <w:r>
        <w:rPr>
          <w:rFonts w:ascii="Mendl Sans Dusk Regular" w:hAnsi="Mendl Sans Dusk Regular"/>
          <w:b w:val="0"/>
          <w:color w:val="202723"/>
          <w:sz w:val="21"/>
        </w:rPr>
        <w:t>project location and applicable law;</w:t>
      </w:r>
    </w:p>
    <w:p>
      <w:pPr>
        <w:pStyle w:val="ListBullet"/>
        <w:spacing w:after="80" w:line="276" w:lineRule="auto"/>
        <w:ind w:left="461" w:hanging="259"/>
      </w:pPr>
      <w:r>
        <w:rPr>
          <w:rFonts w:ascii="Mendl Sans Dusk Regular" w:hAnsi="Mendl Sans Dusk Regular"/>
          <w:b w:val="0"/>
          <w:color w:val="202723"/>
          <w:sz w:val="21"/>
        </w:rPr>
        <w:t>schedule realism and liquidated-damages exposure;</w:t>
      </w:r>
    </w:p>
    <w:p>
      <w:pPr>
        <w:pStyle w:val="ListBullet"/>
        <w:spacing w:after="80" w:line="276" w:lineRule="auto"/>
        <w:ind w:left="461" w:hanging="259"/>
      </w:pPr>
      <w:r>
        <w:rPr>
          <w:rFonts w:ascii="Mendl Sans Dusk Regular" w:hAnsi="Mendl Sans Dusk Regular"/>
          <w:b w:val="0"/>
          <w:color w:val="202723"/>
          <w:sz w:val="21"/>
        </w:rPr>
        <w:t>internal staffing and supervision;</w:t>
      </w:r>
    </w:p>
    <w:p>
      <w:pPr>
        <w:pStyle w:val="ListBullet"/>
        <w:spacing w:after="80" w:line="276" w:lineRule="auto"/>
        <w:ind w:left="461" w:hanging="259"/>
      </w:pPr>
      <w:r>
        <w:rPr>
          <w:rFonts w:ascii="Mendl Sans Dusk Regular" w:hAnsi="Mendl Sans Dusk Regular"/>
          <w:b w:val="0"/>
          <w:color w:val="202723"/>
          <w:sz w:val="21"/>
        </w:rPr>
        <w:t>subcontractor and supplier market coverage;</w:t>
      </w:r>
    </w:p>
    <w:p>
      <w:pPr>
        <w:pStyle w:val="ListBullet"/>
        <w:spacing w:after="80" w:line="276" w:lineRule="auto"/>
        <w:ind w:left="461" w:hanging="259"/>
      </w:pPr>
      <w:r>
        <w:rPr>
          <w:rFonts w:ascii="Mendl Sans Dusk Regular" w:hAnsi="Mendl Sans Dusk Regular"/>
          <w:b w:val="0"/>
          <w:color w:val="202723"/>
          <w:sz w:val="21"/>
        </w:rPr>
        <w:t>bonding, insurance, license and cash capacity;</w:t>
      </w:r>
    </w:p>
    <w:p>
      <w:pPr>
        <w:pStyle w:val="ListBullet"/>
        <w:spacing w:after="80" w:line="276" w:lineRule="auto"/>
        <w:ind w:left="461" w:hanging="259"/>
      </w:pPr>
      <w:r>
        <w:rPr>
          <w:rFonts w:ascii="Mendl Sans Dusk Regular" w:hAnsi="Mendl Sans Dusk Regular"/>
          <w:b w:val="0"/>
          <w:color w:val="202723"/>
          <w:sz w:val="21"/>
        </w:rPr>
        <w:t>owner, architect and funding risk;</w:t>
      </w:r>
    </w:p>
    <w:p>
      <w:pPr>
        <w:pStyle w:val="ListBullet"/>
        <w:spacing w:after="80" w:line="276" w:lineRule="auto"/>
        <w:ind w:left="461" w:hanging="259"/>
      </w:pPr>
      <w:r>
        <w:rPr>
          <w:rFonts w:ascii="Mendl Sans Dusk Regular" w:hAnsi="Mendl Sans Dusk Regular"/>
          <w:b w:val="0"/>
          <w:color w:val="202723"/>
          <w:sz w:val="21"/>
        </w:rPr>
        <w:t>contract form and unusual clauses;</w:t>
      </w:r>
    </w:p>
    <w:p>
      <w:pPr>
        <w:pStyle w:val="ListBullet"/>
        <w:spacing w:after="80" w:line="276" w:lineRule="auto"/>
        <w:ind w:left="461" w:hanging="259"/>
      </w:pPr>
      <w:r>
        <w:rPr>
          <w:rFonts w:ascii="Mendl Sans Dusk Regular" w:hAnsi="Mendl Sans Dusk Regular"/>
          <w:b w:val="0"/>
          <w:color w:val="202723"/>
          <w:sz w:val="21"/>
        </w:rPr>
        <w:t>safety, environmental and technical hazards;</w:t>
      </w:r>
    </w:p>
    <w:p>
      <w:pPr>
        <w:pStyle w:val="ListBullet"/>
        <w:spacing w:after="80" w:line="276" w:lineRule="auto"/>
        <w:ind w:left="461" w:hanging="259"/>
      </w:pPr>
      <w:r>
        <w:rPr>
          <w:rFonts w:ascii="Mendl Sans Dusk Regular" w:hAnsi="Mendl Sans Dusk Regular"/>
          <w:b w:val="0"/>
          <w:color w:val="202723"/>
          <w:sz w:val="21"/>
        </w:rPr>
        <w:t>expected competition, win probability and pursuit cost;</w:t>
      </w:r>
    </w:p>
    <w:p>
      <w:pPr>
        <w:pStyle w:val="ListBullet"/>
        <w:spacing w:after="80" w:line="276" w:lineRule="auto"/>
        <w:ind w:left="461" w:hanging="259"/>
      </w:pPr>
      <w:r>
        <w:rPr>
          <w:rFonts w:ascii="Mendl Sans Dusk Regular" w:hAnsi="Mendl Sans Dusk Regular"/>
          <w:b w:val="0"/>
          <w:color w:val="202723"/>
          <w:sz w:val="21"/>
        </w:rPr>
        <w:t>target margin and downside exposure.</w:t>
      </w:r>
    </w:p>
    <w:p>
      <w:r>
        <w:rPr>
          <w:rFonts w:ascii="Mendl Sans Dusk Regular" w:hAnsi="Mendl Sans Dusk Regular"/>
          <w:b w:val="0"/>
          <w:color w:val="202723"/>
          <w:sz w:val="21"/>
        </w:rPr>
        <w:t xml:space="preserve">The decision may be </w:t>
      </w:r>
      <w:r>
        <w:rPr>
          <w:rFonts w:ascii="Mendl Sans Dusk Bold" w:hAnsi="Mendl Sans Dusk Bold"/>
          <w:b/>
          <w:color w:val="202723"/>
          <w:sz w:val="21"/>
        </w:rPr>
        <w:t>Go, Conditional Go, Hold or No-Go</w:t>
      </w:r>
      <w:r>
        <w:rPr>
          <w:rFonts w:ascii="Mendl Sans Dusk Regular" w:hAnsi="Mendl Sans Dusk Regular"/>
          <w:b w:val="0"/>
          <w:color w:val="202723"/>
          <w:sz w:val="21"/>
        </w:rPr>
        <w:t>. Conditions must have owners and be closed before bid submission or expressly accepted by authorized leadership.</w:t>
      </w:r>
    </w:p>
    <w:p>
      <w:pPr>
        <w:pStyle w:val="Heading2"/>
      </w:pPr>
      <w:r>
        <w:rPr>
          <w:rFonts w:ascii="Mendl Sans Dusk Medium" w:hAnsi="Mendl Sans Dusk Medium"/>
          <w:b w:val="0"/>
          <w:color w:val="628F79"/>
          <w:sz w:val="26"/>
        </w:rPr>
        <w:t>7. Estimating and proposal control</w:t>
      </w:r>
    </w:p>
    <w:p>
      <w:pPr>
        <w:pStyle w:val="Heading3"/>
      </w:pPr>
      <w:r>
        <w:rPr>
          <w:rFonts w:ascii="Mendl Sans Dusk Medium" w:hAnsi="Mendl Sans Dusk Medium"/>
          <w:b w:val="0"/>
          <w:color w:val="1E392C"/>
          <w:sz w:val="23"/>
        </w:rPr>
        <w:t>7.1 Estimate basis</w:t>
      </w:r>
    </w:p>
    <w:p>
      <w:r>
        <w:rPr>
          <w:rFonts w:ascii="Mendl Sans Dusk Regular" w:hAnsi="Mendl Sans Dusk Regular"/>
          <w:b w:val="0"/>
          <w:color w:val="202723"/>
          <w:sz w:val="21"/>
        </w:rPr>
        <w:t>Every estimate shall preserve a basis-of-estimate record including drawings/specifications and addenda used, scope assumptions, quantities, labor/equipment rates, subcontractor quotes, exclusions, allowances, escalation, schedule, general conditions, contingency and unresolved risks.</w:t>
      </w:r>
    </w:p>
    <w:p>
      <w:pPr>
        <w:pStyle w:val="Heading3"/>
      </w:pPr>
      <w:r>
        <w:rPr>
          <w:rFonts w:ascii="Mendl Sans Dusk Medium" w:hAnsi="Mendl Sans Dusk Medium"/>
          <w:b w:val="0"/>
          <w:color w:val="1E392C"/>
          <w:sz w:val="23"/>
        </w:rPr>
        <w:t>7.2 Independent review</w:t>
      </w:r>
    </w:p>
    <w:p>
      <w:r>
        <w:rPr>
          <w:rFonts w:ascii="Mendl Sans Dusk Regular" w:hAnsi="Mendl Sans Dusk Regular"/>
          <w:b w:val="0"/>
          <w:color w:val="202723"/>
          <w:sz w:val="21"/>
        </w:rPr>
        <w:t>Material estimates require an independent review by someone other than the preparer. Review depth shall reflect size, complexity and risk and include:</w:t>
      </w:r>
    </w:p>
    <w:p>
      <w:pPr>
        <w:pStyle w:val="ListBullet"/>
        <w:spacing w:after="80" w:line="276" w:lineRule="auto"/>
        <w:ind w:left="461" w:hanging="259"/>
      </w:pPr>
      <w:r>
        <w:rPr>
          <w:rFonts w:ascii="Mendl Sans Dusk Regular" w:hAnsi="Mendl Sans Dusk Regular"/>
          <w:b w:val="0"/>
          <w:color w:val="202723"/>
          <w:sz w:val="21"/>
        </w:rPr>
        <w:t>scope completeness and drawing/specification reconciliation;</w:t>
      </w:r>
    </w:p>
    <w:p>
      <w:pPr>
        <w:pStyle w:val="ListBullet"/>
        <w:spacing w:after="80" w:line="276" w:lineRule="auto"/>
        <w:ind w:left="461" w:hanging="259"/>
      </w:pPr>
      <w:r>
        <w:rPr>
          <w:rFonts w:ascii="Mendl Sans Dusk Regular" w:hAnsi="Mendl Sans Dusk Regular"/>
          <w:b w:val="0"/>
          <w:color w:val="202723"/>
          <w:sz w:val="21"/>
        </w:rPr>
        <w:t>quantity and unit-rate checks;</w:t>
      </w:r>
    </w:p>
    <w:p>
      <w:pPr>
        <w:pStyle w:val="ListBullet"/>
        <w:spacing w:after="80" w:line="276" w:lineRule="auto"/>
        <w:ind w:left="461" w:hanging="259"/>
      </w:pPr>
      <w:r>
        <w:rPr>
          <w:rFonts w:ascii="Mendl Sans Dusk Regular" w:hAnsi="Mendl Sans Dusk Regular"/>
          <w:b w:val="0"/>
          <w:color w:val="202723"/>
          <w:sz w:val="21"/>
        </w:rPr>
        <w:t>subcontractor quote leveling and exclusions;</w:t>
      </w:r>
    </w:p>
    <w:p>
      <w:pPr>
        <w:pStyle w:val="ListBullet"/>
        <w:spacing w:after="80" w:line="276" w:lineRule="auto"/>
        <w:ind w:left="461" w:hanging="259"/>
      </w:pPr>
      <w:r>
        <w:rPr>
          <w:rFonts w:ascii="Mendl Sans Dusk Regular" w:hAnsi="Mendl Sans Dusk Regular"/>
          <w:b w:val="0"/>
          <w:color w:val="202723"/>
          <w:sz w:val="21"/>
        </w:rPr>
        <w:t>schedule/general-conditions alignment;</w:t>
      </w:r>
    </w:p>
    <w:p>
      <w:pPr>
        <w:pStyle w:val="ListBullet"/>
        <w:spacing w:after="80" w:line="276" w:lineRule="auto"/>
        <w:ind w:left="461" w:hanging="259"/>
      </w:pPr>
      <w:r>
        <w:rPr>
          <w:rFonts w:ascii="Mendl Sans Dusk Regular" w:hAnsi="Mendl Sans Dusk Regular"/>
          <w:b w:val="0"/>
          <w:color w:val="202723"/>
          <w:sz w:val="21"/>
        </w:rPr>
        <w:t>insurance, bonding, taxes, permits and fees;</w:t>
      </w:r>
    </w:p>
    <w:p>
      <w:pPr>
        <w:pStyle w:val="ListBullet"/>
        <w:spacing w:after="80" w:line="276" w:lineRule="auto"/>
        <w:ind w:left="461" w:hanging="259"/>
      </w:pPr>
      <w:r>
        <w:rPr>
          <w:rFonts w:ascii="Mendl Sans Dusk Regular" w:hAnsi="Mendl Sans Dusk Regular"/>
          <w:b w:val="0"/>
          <w:color w:val="202723"/>
          <w:sz w:val="21"/>
        </w:rPr>
        <w:t>escalation, logistics, safety and quality costs;</w:t>
      </w:r>
    </w:p>
    <w:p>
      <w:pPr>
        <w:pStyle w:val="ListBullet"/>
        <w:spacing w:after="80" w:line="276" w:lineRule="auto"/>
        <w:ind w:left="461" w:hanging="259"/>
      </w:pPr>
      <w:r>
        <w:rPr>
          <w:rFonts w:ascii="Mendl Sans Dusk Regular" w:hAnsi="Mendl Sans Dusk Regular"/>
          <w:b w:val="0"/>
          <w:color w:val="202723"/>
          <w:sz w:val="21"/>
        </w:rPr>
        <w:t>alternates, allowances and owner-furnished items;</w:t>
      </w:r>
    </w:p>
    <w:p>
      <w:pPr>
        <w:pStyle w:val="ListBullet"/>
        <w:spacing w:after="80" w:line="276" w:lineRule="auto"/>
        <w:ind w:left="461" w:hanging="259"/>
      </w:pPr>
      <w:r>
        <w:rPr>
          <w:rFonts w:ascii="Mendl Sans Dusk Regular" w:hAnsi="Mendl Sans Dusk Regular"/>
          <w:b w:val="0"/>
          <w:color w:val="202723"/>
          <w:sz w:val="21"/>
        </w:rPr>
        <w:t>proposal language and contract-risk exceptions.</w:t>
      </w:r>
    </w:p>
    <w:p>
      <w:pPr>
        <w:pStyle w:val="Heading3"/>
      </w:pPr>
      <w:r>
        <w:rPr>
          <w:rFonts w:ascii="Mendl Sans Dusk Medium" w:hAnsi="Mendl Sans Dusk Medium"/>
          <w:b w:val="0"/>
          <w:color w:val="1E392C"/>
          <w:sz w:val="23"/>
        </w:rPr>
        <w:t>7.3 Proposal approval</w:t>
      </w:r>
    </w:p>
    <w:p>
      <w:r>
        <w:rPr>
          <w:rFonts w:ascii="Mendl Sans Dusk Regular" w:hAnsi="Mendl Sans Dusk Regular"/>
          <w:b w:val="0"/>
          <w:color w:val="202723"/>
          <w:sz w:val="21"/>
        </w:rPr>
        <w:t>Only authorized personnel may submit proposals. The approved proposal, estimate version, review record and bid confirmation shall be retained together. Verbal clarifications that affect scope, cost, schedule or risk must be confirmed in writing.</w:t>
      </w:r>
    </w:p>
    <w:p>
      <w:pPr>
        <w:pStyle w:val="Heading3"/>
      </w:pPr>
      <w:r>
        <w:rPr>
          <w:rFonts w:ascii="Mendl Sans Dusk Medium" w:hAnsi="Mendl Sans Dusk Medium"/>
          <w:b w:val="0"/>
          <w:color w:val="1E392C"/>
          <w:sz w:val="23"/>
        </w:rPr>
        <w:t>7.4 Lessons from outcomes</w:t>
      </w:r>
    </w:p>
    <w:p>
      <w:r>
        <w:rPr>
          <w:rFonts w:ascii="Mendl Sans Dusk Regular" w:hAnsi="Mendl Sans Dusk Regular"/>
          <w:b w:val="0"/>
          <w:color w:val="202723"/>
          <w:sz w:val="21"/>
        </w:rPr>
        <w:t>Won and lost bids shall be coded and reviewed. The company should distinguish price, relationship, qualifications, capacity, schedule, scope interpretation and no-decision outcomes. Estimating history shall be updated with actual production and buyout results.</w:t>
      </w:r>
    </w:p>
    <w:p>
      <w:pPr>
        <w:pStyle w:val="Heading2"/>
      </w:pPr>
      <w:r>
        <w:rPr>
          <w:rFonts w:ascii="Mendl Sans Dusk Medium" w:hAnsi="Mendl Sans Dusk Medium"/>
          <w:b w:val="0"/>
          <w:color w:val="628F79"/>
          <w:sz w:val="26"/>
        </w:rPr>
        <w:t>8. Contract and commercial-risk review</w:t>
      </w:r>
    </w:p>
    <w:p>
      <w:r>
        <w:rPr>
          <w:rFonts w:ascii="Mendl Sans Dusk Regular" w:hAnsi="Mendl Sans Dusk Regular"/>
          <w:b w:val="0"/>
          <w:color w:val="202723"/>
          <w:sz w:val="21"/>
        </w:rPr>
        <w:t>No work may begin solely because a client says to proceed. Before mobilization, the responsible PM and executive approver must know what written authority exists and what commercial exposure is being accepted.</w:t>
      </w:r>
    </w:p>
    <w:p>
      <w:r>
        <w:rPr>
          <w:rFonts w:ascii="Mendl Sans Dusk Regular" w:hAnsi="Mendl Sans Dusk Regular"/>
          <w:b w:val="0"/>
          <w:color w:val="202723"/>
          <w:sz w:val="21"/>
        </w:rPr>
        <w:t>Contract review includes:</w:t>
      </w:r>
    </w:p>
    <w:p>
      <w:pPr>
        <w:pStyle w:val="ListBullet"/>
        <w:spacing w:after="80" w:line="276" w:lineRule="auto"/>
        <w:ind w:left="461" w:hanging="259"/>
      </w:pPr>
      <w:r>
        <w:rPr>
          <w:rFonts w:ascii="Mendl Sans Dusk Regular" w:hAnsi="Mendl Sans Dusk Regular"/>
          <w:b w:val="0"/>
          <w:color w:val="202723"/>
          <w:sz w:val="21"/>
        </w:rPr>
        <w:t>scope and incorporated documents;</w:t>
      </w:r>
    </w:p>
    <w:p>
      <w:pPr>
        <w:pStyle w:val="ListBullet"/>
        <w:spacing w:after="80" w:line="276" w:lineRule="auto"/>
        <w:ind w:left="461" w:hanging="259"/>
      </w:pPr>
      <w:r>
        <w:rPr>
          <w:rFonts w:ascii="Mendl Sans Dusk Regular" w:hAnsi="Mendl Sans Dusk Regular"/>
          <w:b w:val="0"/>
          <w:color w:val="202723"/>
          <w:sz w:val="21"/>
        </w:rPr>
        <w:t>price, allowances, alternates and contingency;</w:t>
      </w:r>
    </w:p>
    <w:p>
      <w:pPr>
        <w:pStyle w:val="ListBullet"/>
        <w:spacing w:after="80" w:line="276" w:lineRule="auto"/>
        <w:ind w:left="461" w:hanging="259"/>
      </w:pPr>
      <w:r>
        <w:rPr>
          <w:rFonts w:ascii="Mendl Sans Dusk Regular" w:hAnsi="Mendl Sans Dusk Regular"/>
          <w:b w:val="0"/>
          <w:color w:val="202723"/>
          <w:sz w:val="21"/>
        </w:rPr>
        <w:t>schedule, milestones, delay, acceleration and liquidated damages;</w:t>
      </w:r>
    </w:p>
    <w:p>
      <w:pPr>
        <w:pStyle w:val="ListBullet"/>
        <w:spacing w:after="80" w:line="276" w:lineRule="auto"/>
        <w:ind w:left="461" w:hanging="259"/>
      </w:pPr>
      <w:r>
        <w:rPr>
          <w:rFonts w:ascii="Mendl Sans Dusk Regular" w:hAnsi="Mendl Sans Dusk Regular"/>
          <w:b w:val="0"/>
          <w:color w:val="202723"/>
          <w:sz w:val="21"/>
        </w:rPr>
        <w:t>payment terms, retainage, pay-if-paid/pay-when-paid and audit rights;</w:t>
      </w:r>
    </w:p>
    <w:p>
      <w:pPr>
        <w:pStyle w:val="ListBullet"/>
        <w:spacing w:after="80" w:line="276" w:lineRule="auto"/>
        <w:ind w:left="461" w:hanging="259"/>
      </w:pPr>
      <w:r>
        <w:rPr>
          <w:rFonts w:ascii="Mendl Sans Dusk Regular" w:hAnsi="Mendl Sans Dusk Regular"/>
          <w:b w:val="0"/>
          <w:color w:val="202723"/>
          <w:sz w:val="21"/>
        </w:rPr>
        <w:t>notice requirements and time bars;</w:t>
      </w:r>
    </w:p>
    <w:p>
      <w:pPr>
        <w:pStyle w:val="ListBullet"/>
        <w:spacing w:after="80" w:line="276" w:lineRule="auto"/>
        <w:ind w:left="461" w:hanging="259"/>
      </w:pPr>
      <w:r>
        <w:rPr>
          <w:rFonts w:ascii="Mendl Sans Dusk Regular" w:hAnsi="Mendl Sans Dusk Regular"/>
          <w:b w:val="0"/>
          <w:color w:val="202723"/>
          <w:sz w:val="21"/>
        </w:rPr>
        <w:t>change, differing-site-condition and claims procedures;</w:t>
      </w:r>
    </w:p>
    <w:p>
      <w:pPr>
        <w:pStyle w:val="ListBullet"/>
        <w:spacing w:after="80" w:line="276" w:lineRule="auto"/>
        <w:ind w:left="461" w:hanging="259"/>
      </w:pPr>
      <w:r>
        <w:rPr>
          <w:rFonts w:ascii="Mendl Sans Dusk Regular" w:hAnsi="Mendl Sans Dusk Regular"/>
          <w:b w:val="0"/>
          <w:color w:val="202723"/>
          <w:sz w:val="21"/>
        </w:rPr>
        <w:t>indemnity, defense, waiver, limitation and consequential damages;</w:t>
      </w:r>
    </w:p>
    <w:p>
      <w:pPr>
        <w:pStyle w:val="ListBullet"/>
        <w:spacing w:after="80" w:line="276" w:lineRule="auto"/>
        <w:ind w:left="461" w:hanging="259"/>
      </w:pPr>
      <w:r>
        <w:rPr>
          <w:rFonts w:ascii="Mendl Sans Dusk Regular" w:hAnsi="Mendl Sans Dusk Regular"/>
          <w:b w:val="0"/>
          <w:color w:val="202723"/>
          <w:sz w:val="21"/>
        </w:rPr>
        <w:t>insurance, bonding and additional-insured requirements;</w:t>
      </w:r>
    </w:p>
    <w:p>
      <w:pPr>
        <w:pStyle w:val="ListBullet"/>
        <w:spacing w:after="80" w:line="276" w:lineRule="auto"/>
        <w:ind w:left="461" w:hanging="259"/>
      </w:pPr>
      <w:r>
        <w:rPr>
          <w:rFonts w:ascii="Mendl Sans Dusk Regular" w:hAnsi="Mendl Sans Dusk Regular"/>
          <w:b w:val="0"/>
          <w:color w:val="202723"/>
          <w:sz w:val="21"/>
        </w:rPr>
        <w:t>warranties, correction obligations and closeout conditions;</w:t>
      </w:r>
    </w:p>
    <w:p>
      <w:pPr>
        <w:pStyle w:val="ListBullet"/>
        <w:spacing w:after="80" w:line="276" w:lineRule="auto"/>
        <w:ind w:left="461" w:hanging="259"/>
      </w:pPr>
      <w:r>
        <w:rPr>
          <w:rFonts w:ascii="Mendl Sans Dusk Regular" w:hAnsi="Mendl Sans Dusk Regular"/>
          <w:b w:val="0"/>
          <w:color w:val="202723"/>
          <w:sz w:val="21"/>
        </w:rPr>
        <w:t>safety, environmental, cybersecurity and confidentiality obligations;</w:t>
      </w:r>
    </w:p>
    <w:p>
      <w:pPr>
        <w:pStyle w:val="ListBullet"/>
        <w:spacing w:after="80" w:line="276" w:lineRule="auto"/>
        <w:ind w:left="461" w:hanging="259"/>
      </w:pPr>
      <w:r>
        <w:rPr>
          <w:rFonts w:ascii="Mendl Sans Dusk Regular" w:hAnsi="Mendl Sans Dusk Regular"/>
          <w:b w:val="0"/>
          <w:color w:val="202723"/>
          <w:sz w:val="21"/>
        </w:rPr>
        <w:t>dispute resolution, governing law and venue;</w:t>
      </w:r>
    </w:p>
    <w:p>
      <w:pPr>
        <w:pStyle w:val="ListBullet"/>
        <w:spacing w:after="80" w:line="276" w:lineRule="auto"/>
        <w:ind w:left="461" w:hanging="259"/>
      </w:pPr>
      <w:r>
        <w:rPr>
          <w:rFonts w:ascii="Mendl Sans Dusk Regular" w:hAnsi="Mendl Sans Dusk Regular"/>
          <w:b w:val="0"/>
          <w:color w:val="202723"/>
          <w:sz w:val="21"/>
        </w:rPr>
        <w:t>licensing, permits, prevailing wage and public-works requirements.</w:t>
      </w:r>
    </w:p>
    <w:p>
      <w:r>
        <w:rPr>
          <w:rFonts w:ascii="Mendl Sans Dusk Regular" w:hAnsi="Mendl Sans Dusk Regular"/>
          <w:b w:val="0"/>
          <w:color w:val="202723"/>
          <w:sz w:val="21"/>
        </w:rPr>
        <w:t>High-risk terms shall be routed to qualified construction counsel or the appropriate professional. Internal playbooks support review but do not replace legal advice.</w:t>
      </w:r>
    </w:p>
    <w:p>
      <w:r>
        <w:rPr>
          <w:rFonts w:ascii="Mendl Sans Dusk Regular" w:hAnsi="Mendl Sans Dusk Regular"/>
          <w:b w:val="0"/>
          <w:color w:val="202723"/>
          <w:sz w:val="21"/>
        </w:rPr>
        <w:t>The project team shall create a contract obligations matrix at award, including notices, deliverables, dates, responsible owners and evidence location.</w:t>
      </w:r>
    </w:p>
    <w:p>
      <w:pPr>
        <w:pStyle w:val="Heading1"/>
      </w:pPr>
      <w:r>
        <w:rPr>
          <w:rFonts w:ascii="Mendl Sans Dusk Bold" w:hAnsi="Mendl Sans Dusk Bold"/>
          <w:b/>
          <w:color w:val="386851"/>
          <w:sz w:val="32"/>
        </w:rPr>
        <w:t>Part III - Project delivery</w:t>
      </w:r>
    </w:p>
    <w:p>
      <w:pPr>
        <w:pStyle w:val="Heading2"/>
      </w:pPr>
      <w:r>
        <w:rPr>
          <w:rFonts w:ascii="Mendl Sans Dusk Medium" w:hAnsi="Mendl Sans Dusk Medium"/>
          <w:b w:val="0"/>
          <w:color w:val="628F79"/>
          <w:sz w:val="26"/>
        </w:rPr>
        <w:t>9. Project lifecycle and stage gates</w:t>
      </w:r>
    </w:p>
    <w:p>
      <w:r>
        <w:rPr>
          <w:rFonts w:ascii="Mendl Sans Dusk Regular" w:hAnsi="Mendl Sans Dusk Regular"/>
          <w:b w:val="0"/>
          <w:color w:val="202723"/>
          <w:sz w:val="21"/>
        </w:rPr>
        <w:t>MH Construction uses eight lifecycle gates. A gate is complete only when required evidence is accepted or a documented exception is approved.</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2364"/>
            <w:vAlign w:val="center"/>
            <w:tcMar>
              <w:top w:w="80" w:type="dxa"/>
              <w:start w:w="120" w:type="dxa"/>
              <w:bottom w:w="80" w:type="dxa"/>
              <w:end w:w="120" w:type="dxa"/>
            </w:tcMar>
            <w:shd w:fill="386851"/>
          </w:tcPr>
          <w:p>
            <w:pPr>
              <w:spacing w:after="0"/>
            </w:pPr>
            <w:r>
              <w:rPr>
                <w:rFonts w:ascii="Mendl Sans Dusk Bold" w:hAnsi="Mendl Sans Dusk Bold"/>
                <w:b/>
                <w:color w:val="FFFFFF"/>
                <w:sz w:val="16"/>
              </w:rPr>
              <w:t>Gate</w:t>
            </w:r>
          </w:p>
        </w:tc>
        <w:tc>
          <w:tcPr>
            <w:tcW w:type="dxa" w:w="1796"/>
            <w:vAlign w:val="center"/>
            <w:tcMar>
              <w:top w:w="80" w:type="dxa"/>
              <w:start w:w="120" w:type="dxa"/>
              <w:bottom w:w="80" w:type="dxa"/>
              <w:end w:w="120" w:type="dxa"/>
            </w:tcMar>
            <w:shd w:fill="386851"/>
          </w:tcPr>
          <w:p>
            <w:pPr>
              <w:spacing w:after="0"/>
            </w:pPr>
            <w:r>
              <w:rPr>
                <w:rFonts w:ascii="Mendl Sans Dusk Bold" w:hAnsi="Mendl Sans Dusk Bold"/>
                <w:b/>
                <w:color w:val="FFFFFF"/>
                <w:sz w:val="16"/>
              </w:rPr>
              <w:t>Decision</w:t>
            </w:r>
          </w:p>
        </w:tc>
        <w:tc>
          <w:tcPr>
            <w:tcW w:type="dxa" w:w="520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Minimum evidence</w:t>
            </w:r>
          </w:p>
        </w:tc>
      </w:tr>
      <w:tr>
        <w:tc>
          <w:tcPr>
            <w:tcW w:type="dxa" w:w="2364"/>
            <w:vAlign w:val="center"/>
            <w:tcMar>
              <w:top w:w="80" w:type="dxa"/>
              <w:start w:w="120" w:type="dxa"/>
              <w:bottom w:w="80" w:type="dxa"/>
              <w:end w:w="120" w:type="dxa"/>
            </w:tcMar>
          </w:tcPr>
          <w:p>
            <w:pPr>
              <w:spacing w:after="0"/>
            </w:pPr>
            <w:r>
              <w:rPr>
                <w:rFonts w:ascii="Mendl Sans Dusk Regular" w:hAnsi="Mendl Sans Dusk Regular"/>
                <w:b w:val="0"/>
                <w:color w:val="202723"/>
                <w:sz w:val="16"/>
              </w:rPr>
              <w:t>G0 Opportunity</w:t>
            </w:r>
          </w:p>
        </w:tc>
        <w:tc>
          <w:tcPr>
            <w:tcW w:type="dxa" w:w="1796"/>
            <w:vAlign w:val="center"/>
            <w:tcMar>
              <w:top w:w="80" w:type="dxa"/>
              <w:start w:w="120" w:type="dxa"/>
              <w:bottom w:w="80" w:type="dxa"/>
              <w:end w:w="120" w:type="dxa"/>
            </w:tcMar>
          </w:tcPr>
          <w:p>
            <w:pPr>
              <w:spacing w:after="0"/>
            </w:pPr>
            <w:r>
              <w:rPr>
                <w:rFonts w:ascii="Mendl Sans Dusk Regular" w:hAnsi="Mendl Sans Dusk Regular"/>
                <w:b w:val="0"/>
                <w:color w:val="202723"/>
                <w:sz w:val="16"/>
              </w:rPr>
              <w:t>Pursue?</w:t>
            </w:r>
          </w:p>
        </w:tc>
        <w:tc>
          <w:tcPr>
            <w:tcW w:type="dxa" w:w="5200"/>
            <w:vAlign w:val="center"/>
            <w:tcMar>
              <w:top w:w="80" w:type="dxa"/>
              <w:start w:w="120" w:type="dxa"/>
              <w:bottom w:w="80" w:type="dxa"/>
              <w:end w:w="120" w:type="dxa"/>
            </w:tcMar>
          </w:tcPr>
          <w:p>
            <w:pPr>
              <w:spacing w:after="0"/>
            </w:pPr>
            <w:r>
              <w:rPr>
                <w:rFonts w:ascii="Mendl Sans Dusk Regular" w:hAnsi="Mendl Sans Dusk Regular"/>
                <w:b w:val="0"/>
                <w:color w:val="202723"/>
                <w:sz w:val="16"/>
              </w:rPr>
              <w:t>Go/no-go record, client/project profile, capacity review.</w:t>
            </w:r>
          </w:p>
        </w:tc>
      </w:tr>
      <w:tr>
        <w:tc>
          <w:tcPr>
            <w:tcW w:type="dxa" w:w="236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G1 Bid release</w:t>
            </w:r>
          </w:p>
        </w:tc>
        <w:tc>
          <w:tcPr>
            <w:tcW w:type="dxa" w:w="179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Submit?</w:t>
            </w:r>
          </w:p>
        </w:tc>
        <w:tc>
          <w:tcPr>
            <w:tcW w:type="dxa" w:w="520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Reviewed estimate, proposal, risk exceptions, approval.</w:t>
            </w:r>
          </w:p>
        </w:tc>
      </w:tr>
      <w:tr>
        <w:tc>
          <w:tcPr>
            <w:tcW w:type="dxa" w:w="2364"/>
            <w:vAlign w:val="center"/>
            <w:tcMar>
              <w:top w:w="80" w:type="dxa"/>
              <w:start w:w="120" w:type="dxa"/>
              <w:bottom w:w="80" w:type="dxa"/>
              <w:end w:w="120" w:type="dxa"/>
            </w:tcMar>
          </w:tcPr>
          <w:p>
            <w:pPr>
              <w:spacing w:after="0"/>
            </w:pPr>
            <w:r>
              <w:rPr>
                <w:rFonts w:ascii="Mendl Sans Dusk Regular" w:hAnsi="Mendl Sans Dusk Regular"/>
                <w:b w:val="0"/>
                <w:color w:val="202723"/>
                <w:sz w:val="16"/>
              </w:rPr>
              <w:t>G2 Contract acceptance</w:t>
            </w:r>
          </w:p>
        </w:tc>
        <w:tc>
          <w:tcPr>
            <w:tcW w:type="dxa" w:w="1796"/>
            <w:vAlign w:val="center"/>
            <w:tcMar>
              <w:top w:w="80" w:type="dxa"/>
              <w:start w:w="120" w:type="dxa"/>
              <w:bottom w:w="80" w:type="dxa"/>
              <w:end w:w="120" w:type="dxa"/>
            </w:tcMar>
          </w:tcPr>
          <w:p>
            <w:pPr>
              <w:spacing w:after="0"/>
            </w:pPr>
            <w:r>
              <w:rPr>
                <w:rFonts w:ascii="Mendl Sans Dusk Regular" w:hAnsi="Mendl Sans Dusk Regular"/>
                <w:b w:val="0"/>
                <w:color w:val="202723"/>
                <w:sz w:val="16"/>
              </w:rPr>
              <w:t>Commit?</w:t>
            </w:r>
          </w:p>
        </w:tc>
        <w:tc>
          <w:tcPr>
            <w:tcW w:type="dxa" w:w="5200"/>
            <w:vAlign w:val="center"/>
            <w:tcMar>
              <w:top w:w="80" w:type="dxa"/>
              <w:start w:w="120" w:type="dxa"/>
              <w:bottom w:w="80" w:type="dxa"/>
              <w:end w:w="120" w:type="dxa"/>
            </w:tcMar>
          </w:tcPr>
          <w:p>
            <w:pPr>
              <w:spacing w:after="0"/>
            </w:pPr>
            <w:r>
              <w:rPr>
                <w:rFonts w:ascii="Mendl Sans Dusk Regular" w:hAnsi="Mendl Sans Dusk Regular"/>
                <w:b w:val="0"/>
                <w:color w:val="202723"/>
                <w:sz w:val="16"/>
              </w:rPr>
              <w:t>Contract review, insurance/bonding, authority approval.</w:t>
            </w:r>
          </w:p>
        </w:tc>
      </w:tr>
      <w:tr>
        <w:tc>
          <w:tcPr>
            <w:tcW w:type="dxa" w:w="236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G3 Operations handoff</w:t>
            </w:r>
          </w:p>
        </w:tc>
        <w:tc>
          <w:tcPr>
            <w:tcW w:type="dxa" w:w="179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Ready to transfer?</w:t>
            </w:r>
          </w:p>
        </w:tc>
        <w:tc>
          <w:tcPr>
            <w:tcW w:type="dxa" w:w="520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Basis of estimate, scope map, risk register, commitments, turnover meeting.</w:t>
            </w:r>
          </w:p>
        </w:tc>
      </w:tr>
      <w:tr>
        <w:tc>
          <w:tcPr>
            <w:tcW w:type="dxa" w:w="2364"/>
            <w:vAlign w:val="center"/>
            <w:tcMar>
              <w:top w:w="80" w:type="dxa"/>
              <w:start w:w="120" w:type="dxa"/>
              <w:bottom w:w="80" w:type="dxa"/>
              <w:end w:w="120" w:type="dxa"/>
            </w:tcMar>
          </w:tcPr>
          <w:p>
            <w:pPr>
              <w:spacing w:after="0"/>
            </w:pPr>
            <w:r>
              <w:rPr>
                <w:rFonts w:ascii="Mendl Sans Dusk Regular" w:hAnsi="Mendl Sans Dusk Regular"/>
                <w:b w:val="0"/>
                <w:color w:val="202723"/>
                <w:sz w:val="16"/>
              </w:rPr>
              <w:t>G4 Mobilization</w:t>
            </w:r>
          </w:p>
        </w:tc>
        <w:tc>
          <w:tcPr>
            <w:tcW w:type="dxa" w:w="1796"/>
            <w:vAlign w:val="center"/>
            <w:tcMar>
              <w:top w:w="80" w:type="dxa"/>
              <w:start w:w="120" w:type="dxa"/>
              <w:bottom w:w="80" w:type="dxa"/>
              <w:end w:w="120" w:type="dxa"/>
            </w:tcMar>
          </w:tcPr>
          <w:p>
            <w:pPr>
              <w:spacing w:after="0"/>
            </w:pPr>
            <w:r>
              <w:rPr>
                <w:rFonts w:ascii="Mendl Sans Dusk Regular" w:hAnsi="Mendl Sans Dusk Regular"/>
                <w:b w:val="0"/>
                <w:color w:val="202723"/>
                <w:sz w:val="16"/>
              </w:rPr>
              <w:t>Ready to start?</w:t>
            </w:r>
          </w:p>
        </w:tc>
        <w:tc>
          <w:tcPr>
            <w:tcW w:type="dxa" w:w="5200"/>
            <w:vAlign w:val="center"/>
            <w:tcMar>
              <w:top w:w="80" w:type="dxa"/>
              <w:start w:w="120" w:type="dxa"/>
              <w:bottom w:w="80" w:type="dxa"/>
              <w:end w:w="120" w:type="dxa"/>
            </w:tcMar>
          </w:tcPr>
          <w:p>
            <w:pPr>
              <w:spacing w:after="0"/>
            </w:pPr>
            <w:r>
              <w:rPr>
                <w:rFonts w:ascii="Mendl Sans Dusk Regular" w:hAnsi="Mendl Sans Dusk Regular"/>
                <w:b w:val="0"/>
                <w:color w:val="202723"/>
                <w:sz w:val="16"/>
              </w:rPr>
              <w:t>Budget, schedule, staffing, Procore, SSSP, quality plan, logistics, permits.</w:t>
            </w:r>
          </w:p>
        </w:tc>
      </w:tr>
      <w:tr>
        <w:tc>
          <w:tcPr>
            <w:tcW w:type="dxa" w:w="236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G5 Active control</w:t>
            </w:r>
          </w:p>
        </w:tc>
        <w:tc>
          <w:tcPr>
            <w:tcW w:type="dxa" w:w="179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On plan?</w:t>
            </w:r>
          </w:p>
        </w:tc>
        <w:tc>
          <w:tcPr>
            <w:tcW w:type="dxa" w:w="520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Weekly updates, forecast, procurement, change, quality and safety evidence.</w:t>
            </w:r>
          </w:p>
        </w:tc>
      </w:tr>
      <w:tr>
        <w:tc>
          <w:tcPr>
            <w:tcW w:type="dxa" w:w="2364"/>
            <w:vAlign w:val="center"/>
            <w:tcMar>
              <w:top w:w="80" w:type="dxa"/>
              <w:start w:w="120" w:type="dxa"/>
              <w:bottom w:w="80" w:type="dxa"/>
              <w:end w:w="120" w:type="dxa"/>
            </w:tcMar>
          </w:tcPr>
          <w:p>
            <w:pPr>
              <w:spacing w:after="0"/>
            </w:pPr>
            <w:r>
              <w:rPr>
                <w:rFonts w:ascii="Mendl Sans Dusk Regular" w:hAnsi="Mendl Sans Dusk Regular"/>
                <w:b w:val="0"/>
                <w:color w:val="202723"/>
                <w:sz w:val="16"/>
              </w:rPr>
              <w:t>G6 Substantial completion</w:t>
            </w:r>
          </w:p>
        </w:tc>
        <w:tc>
          <w:tcPr>
            <w:tcW w:type="dxa" w:w="1796"/>
            <w:vAlign w:val="center"/>
            <w:tcMar>
              <w:top w:w="80" w:type="dxa"/>
              <w:start w:w="120" w:type="dxa"/>
              <w:bottom w:w="80" w:type="dxa"/>
              <w:end w:w="120" w:type="dxa"/>
            </w:tcMar>
          </w:tcPr>
          <w:p>
            <w:pPr>
              <w:spacing w:after="0"/>
            </w:pPr>
            <w:r>
              <w:rPr>
                <w:rFonts w:ascii="Mendl Sans Dusk Regular" w:hAnsi="Mendl Sans Dusk Regular"/>
                <w:b w:val="0"/>
                <w:color w:val="202723"/>
                <w:sz w:val="16"/>
              </w:rPr>
              <w:t>Ready to turn over?</w:t>
            </w:r>
          </w:p>
        </w:tc>
        <w:tc>
          <w:tcPr>
            <w:tcW w:type="dxa" w:w="5200"/>
            <w:vAlign w:val="center"/>
            <w:tcMar>
              <w:top w:w="80" w:type="dxa"/>
              <w:start w:w="120" w:type="dxa"/>
              <w:bottom w:w="80" w:type="dxa"/>
              <w:end w:w="120" w:type="dxa"/>
            </w:tcMar>
          </w:tcPr>
          <w:p>
            <w:pPr>
              <w:spacing w:after="0"/>
            </w:pPr>
            <w:r>
              <w:rPr>
                <w:rFonts w:ascii="Mendl Sans Dusk Regular" w:hAnsi="Mendl Sans Dusk Regular"/>
                <w:b w:val="0"/>
                <w:color w:val="202723"/>
                <w:sz w:val="16"/>
              </w:rPr>
              <w:t>Punch list, testing, O&amp;M, training, certificates, as-builts.</w:t>
            </w:r>
          </w:p>
        </w:tc>
      </w:tr>
      <w:tr>
        <w:tc>
          <w:tcPr>
            <w:tcW w:type="dxa" w:w="236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G7 Final closeout</w:t>
            </w:r>
          </w:p>
        </w:tc>
        <w:tc>
          <w:tcPr>
            <w:tcW w:type="dxa" w:w="179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Ready to close?</w:t>
            </w:r>
          </w:p>
        </w:tc>
        <w:tc>
          <w:tcPr>
            <w:tcW w:type="dxa" w:w="520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Final payment, releases, warranties, archive, lessons and client follow-up.</w:t>
            </w:r>
          </w:p>
        </w:tc>
      </w:tr>
    </w:tbl>
    <w:p>
      <w:pPr>
        <w:spacing w:after="20"/>
      </w:pPr>
    </w:p>
    <w:p>
      <w:pPr>
        <w:pStyle w:val="Heading2"/>
      </w:pPr>
      <w:r>
        <w:rPr>
          <w:rFonts w:ascii="Mendl Sans Dusk Medium" w:hAnsi="Mendl Sans Dusk Medium"/>
          <w:b w:val="0"/>
          <w:color w:val="628F79"/>
          <w:sz w:val="26"/>
        </w:rPr>
        <w:t>10. Sales-to-operations handoff</w:t>
      </w:r>
    </w:p>
    <w:p>
      <w:r>
        <w:rPr>
          <w:rFonts w:ascii="Mendl Sans Dusk Regular" w:hAnsi="Mendl Sans Dusk Regular"/>
          <w:b w:val="0"/>
          <w:color w:val="202723"/>
          <w:sz w:val="21"/>
        </w:rPr>
        <w:t>The handoff must transfer knowledge, not merely files. Participants include business development, estimator, executive sponsor, PM, superintendent, project engineer, safety, finance and other needed specialists.</w:t>
      </w:r>
    </w:p>
    <w:p>
      <w:r>
        <w:rPr>
          <w:rFonts w:ascii="Mendl Sans Dusk Regular" w:hAnsi="Mendl Sans Dusk Regular"/>
          <w:b w:val="0"/>
          <w:color w:val="202723"/>
          <w:sz w:val="21"/>
        </w:rPr>
        <w:t>Minimum content includes:</w:t>
      </w:r>
    </w:p>
    <w:p>
      <w:pPr>
        <w:pStyle w:val="ListBullet"/>
        <w:spacing w:after="80" w:line="276" w:lineRule="auto"/>
        <w:ind w:left="461" w:hanging="259"/>
      </w:pPr>
      <w:r>
        <w:rPr>
          <w:rFonts w:ascii="Mendl Sans Dusk Regular" w:hAnsi="Mendl Sans Dusk Regular"/>
          <w:b w:val="0"/>
          <w:color w:val="202723"/>
          <w:sz w:val="21"/>
        </w:rPr>
        <w:t>executed contract and proposal reconciliation;</w:t>
      </w:r>
    </w:p>
    <w:p>
      <w:pPr>
        <w:pStyle w:val="ListBullet"/>
        <w:spacing w:after="80" w:line="276" w:lineRule="auto"/>
        <w:ind w:left="461" w:hanging="259"/>
      </w:pPr>
      <w:r>
        <w:rPr>
          <w:rFonts w:ascii="Mendl Sans Dusk Regular" w:hAnsi="Mendl Sans Dusk Regular"/>
          <w:b w:val="0"/>
          <w:color w:val="202723"/>
          <w:sz w:val="21"/>
        </w:rPr>
        <w:t>scope inclusions, exclusions, allowances and alternates;</w:t>
      </w:r>
    </w:p>
    <w:p>
      <w:pPr>
        <w:pStyle w:val="ListBullet"/>
        <w:spacing w:after="80" w:line="276" w:lineRule="auto"/>
        <w:ind w:left="461" w:hanging="259"/>
      </w:pPr>
      <w:r>
        <w:rPr>
          <w:rFonts w:ascii="Mendl Sans Dusk Regular" w:hAnsi="Mendl Sans Dusk Regular"/>
          <w:b w:val="0"/>
          <w:color w:val="202723"/>
          <w:sz w:val="21"/>
        </w:rPr>
        <w:t>estimate breakdown, subcontractor coverage and buyout strategy;</w:t>
      </w:r>
    </w:p>
    <w:p>
      <w:pPr>
        <w:pStyle w:val="ListBullet"/>
        <w:spacing w:after="80" w:line="276" w:lineRule="auto"/>
        <w:ind w:left="461" w:hanging="259"/>
      </w:pPr>
      <w:r>
        <w:rPr>
          <w:rFonts w:ascii="Mendl Sans Dusk Regular" w:hAnsi="Mendl Sans Dusk Regular"/>
          <w:b w:val="0"/>
          <w:color w:val="202723"/>
          <w:sz w:val="21"/>
        </w:rPr>
        <w:t>owner/architect relationships and communication expectations;</w:t>
      </w:r>
    </w:p>
    <w:p>
      <w:pPr>
        <w:pStyle w:val="ListBullet"/>
        <w:spacing w:after="80" w:line="276" w:lineRule="auto"/>
        <w:ind w:left="461" w:hanging="259"/>
      </w:pPr>
      <w:r>
        <w:rPr>
          <w:rFonts w:ascii="Mendl Sans Dusk Regular" w:hAnsi="Mendl Sans Dusk Regular"/>
          <w:b w:val="0"/>
          <w:color w:val="202723"/>
          <w:sz w:val="21"/>
        </w:rPr>
        <w:t>milestones, schedule assumptions and constraints;</w:t>
      </w:r>
    </w:p>
    <w:p>
      <w:pPr>
        <w:pStyle w:val="ListBullet"/>
        <w:spacing w:after="80" w:line="276" w:lineRule="auto"/>
        <w:ind w:left="461" w:hanging="259"/>
      </w:pPr>
      <w:r>
        <w:rPr>
          <w:rFonts w:ascii="Mendl Sans Dusk Regular" w:hAnsi="Mendl Sans Dusk Regular"/>
          <w:b w:val="0"/>
          <w:color w:val="202723"/>
          <w:sz w:val="21"/>
        </w:rPr>
        <w:t>contract notices and commercial-risk items;</w:t>
      </w:r>
    </w:p>
    <w:p>
      <w:pPr>
        <w:pStyle w:val="ListBullet"/>
        <w:spacing w:after="80" w:line="276" w:lineRule="auto"/>
        <w:ind w:left="461" w:hanging="259"/>
      </w:pPr>
      <w:r>
        <w:rPr>
          <w:rFonts w:ascii="Mendl Sans Dusk Regular" w:hAnsi="Mendl Sans Dusk Regular"/>
          <w:b w:val="0"/>
          <w:color w:val="202723"/>
          <w:sz w:val="21"/>
        </w:rPr>
        <w:t>known safety, quality, environmental and logistics risks;</w:t>
      </w:r>
    </w:p>
    <w:p>
      <w:pPr>
        <w:pStyle w:val="ListBullet"/>
        <w:spacing w:after="80" w:line="276" w:lineRule="auto"/>
        <w:ind w:left="461" w:hanging="259"/>
      </w:pPr>
      <w:r>
        <w:rPr>
          <w:rFonts w:ascii="Mendl Sans Dusk Regular" w:hAnsi="Mendl Sans Dusk Regular"/>
          <w:b w:val="0"/>
          <w:color w:val="202723"/>
          <w:sz w:val="21"/>
        </w:rPr>
        <w:t>permits, licenses, bonds and insurance deliverables;</w:t>
      </w:r>
    </w:p>
    <w:p>
      <w:pPr>
        <w:pStyle w:val="ListBullet"/>
        <w:spacing w:after="80" w:line="276" w:lineRule="auto"/>
        <w:ind w:left="461" w:hanging="259"/>
      </w:pPr>
      <w:r>
        <w:rPr>
          <w:rFonts w:ascii="Mendl Sans Dusk Regular" w:hAnsi="Mendl Sans Dusk Regular"/>
          <w:b w:val="0"/>
          <w:color w:val="202723"/>
          <w:sz w:val="21"/>
        </w:rPr>
        <w:t>long-lead items and early commitments;</w:t>
      </w:r>
    </w:p>
    <w:p>
      <w:pPr>
        <w:pStyle w:val="ListBullet"/>
        <w:spacing w:after="80" w:line="276" w:lineRule="auto"/>
        <w:ind w:left="461" w:hanging="259"/>
      </w:pPr>
      <w:r>
        <w:rPr>
          <w:rFonts w:ascii="Mendl Sans Dusk Regular" w:hAnsi="Mendl Sans Dusk Regular"/>
          <w:b w:val="0"/>
          <w:color w:val="202723"/>
          <w:sz w:val="21"/>
        </w:rPr>
        <w:t>unresolved decisions with owner and due date.</w:t>
      </w:r>
    </w:p>
    <w:p>
      <w:r>
        <w:rPr>
          <w:rFonts w:ascii="Mendl Sans Dusk Regular" w:hAnsi="Mendl Sans Dusk Regular"/>
          <w:b w:val="0"/>
          <w:color w:val="202723"/>
          <w:sz w:val="21"/>
        </w:rPr>
        <w:t>The PM must document acceptance and identify incomplete handoff items.</w:t>
      </w:r>
    </w:p>
    <w:p>
      <w:pPr>
        <w:pStyle w:val="Heading2"/>
      </w:pPr>
      <w:r>
        <w:rPr>
          <w:rFonts w:ascii="Mendl Sans Dusk Medium" w:hAnsi="Mendl Sans Dusk Medium"/>
          <w:b w:val="0"/>
          <w:color w:val="628F79"/>
          <w:sz w:val="26"/>
        </w:rPr>
        <w:t>11. Project startup and mobilization</w:t>
      </w:r>
    </w:p>
    <w:p>
      <w:r>
        <w:rPr>
          <w:rFonts w:ascii="Mendl Sans Dusk Regular" w:hAnsi="Mendl Sans Dusk Regular"/>
          <w:b w:val="0"/>
          <w:color w:val="202723"/>
          <w:sz w:val="21"/>
        </w:rPr>
        <w:t>Before field work, the PM and superintendent shall establish:</w:t>
      </w:r>
    </w:p>
    <w:p>
      <w:pPr>
        <w:pStyle w:val="ListBullet"/>
        <w:spacing w:after="80" w:line="276" w:lineRule="auto"/>
        <w:ind w:left="461" w:hanging="259"/>
      </w:pPr>
      <w:r>
        <w:rPr>
          <w:rFonts w:ascii="Mendl Sans Dusk Regular" w:hAnsi="Mendl Sans Dusk Regular"/>
          <w:b w:val="0"/>
          <w:color w:val="202723"/>
          <w:sz w:val="21"/>
        </w:rPr>
        <w:t>project directory and permission structure;</w:t>
      </w:r>
    </w:p>
    <w:p>
      <w:pPr>
        <w:pStyle w:val="ListBullet"/>
        <w:spacing w:after="80" w:line="276" w:lineRule="auto"/>
        <w:ind w:left="461" w:hanging="259"/>
      </w:pPr>
      <w:r>
        <w:rPr>
          <w:rFonts w:ascii="Mendl Sans Dusk Regular" w:hAnsi="Mendl Sans Dusk Regular"/>
          <w:b w:val="0"/>
          <w:color w:val="202723"/>
          <w:sz w:val="21"/>
        </w:rPr>
        <w:t>contract-document and drawing/specification controls;</w:t>
      </w:r>
    </w:p>
    <w:p>
      <w:pPr>
        <w:pStyle w:val="ListBullet"/>
        <w:spacing w:after="80" w:line="276" w:lineRule="auto"/>
        <w:ind w:left="461" w:hanging="259"/>
      </w:pPr>
      <w:r>
        <w:rPr>
          <w:rFonts w:ascii="Mendl Sans Dusk Regular" w:hAnsi="Mendl Sans Dusk Regular"/>
          <w:b w:val="0"/>
          <w:color w:val="202723"/>
          <w:sz w:val="21"/>
        </w:rPr>
        <w:t>project contact and responsibility matrices;</w:t>
      </w:r>
    </w:p>
    <w:p>
      <w:pPr>
        <w:pStyle w:val="ListBullet"/>
        <w:spacing w:after="80" w:line="276" w:lineRule="auto"/>
        <w:ind w:left="461" w:hanging="259"/>
      </w:pPr>
      <w:r>
        <w:rPr>
          <w:rFonts w:ascii="Mendl Sans Dusk Regular" w:hAnsi="Mendl Sans Dusk Regular"/>
          <w:b w:val="0"/>
          <w:color w:val="202723"/>
          <w:sz w:val="21"/>
        </w:rPr>
        <w:t>baseline budget, cost codes and commitment plan;</w:t>
      </w:r>
    </w:p>
    <w:p>
      <w:pPr>
        <w:pStyle w:val="ListBullet"/>
        <w:spacing w:after="80" w:line="276" w:lineRule="auto"/>
        <w:ind w:left="461" w:hanging="259"/>
      </w:pPr>
      <w:r>
        <w:rPr>
          <w:rFonts w:ascii="Mendl Sans Dusk Regular" w:hAnsi="Mendl Sans Dusk Regular"/>
          <w:b w:val="0"/>
          <w:color w:val="202723"/>
          <w:sz w:val="21"/>
        </w:rPr>
        <w:t>baseline schedule and three-week-lookahead process;</w:t>
      </w:r>
    </w:p>
    <w:p>
      <w:pPr>
        <w:pStyle w:val="ListBullet"/>
        <w:spacing w:after="80" w:line="276" w:lineRule="auto"/>
        <w:ind w:left="461" w:hanging="259"/>
      </w:pPr>
      <w:r>
        <w:rPr>
          <w:rFonts w:ascii="Mendl Sans Dusk Regular" w:hAnsi="Mendl Sans Dusk Regular"/>
          <w:b w:val="0"/>
          <w:color w:val="202723"/>
          <w:sz w:val="21"/>
        </w:rPr>
        <w:t>procurement and submittal logs;</w:t>
      </w:r>
    </w:p>
    <w:p>
      <w:pPr>
        <w:pStyle w:val="ListBullet"/>
        <w:spacing w:after="80" w:line="276" w:lineRule="auto"/>
        <w:ind w:left="461" w:hanging="259"/>
      </w:pPr>
      <w:r>
        <w:rPr>
          <w:rFonts w:ascii="Mendl Sans Dusk Regular" w:hAnsi="Mendl Sans Dusk Regular"/>
          <w:b w:val="0"/>
          <w:color w:val="202723"/>
          <w:sz w:val="21"/>
        </w:rPr>
        <w:t>RFI, change-event, meeting and correspondence workflows;</w:t>
      </w:r>
    </w:p>
    <w:p>
      <w:pPr>
        <w:pStyle w:val="ListBullet"/>
        <w:spacing w:after="80" w:line="276" w:lineRule="auto"/>
        <w:ind w:left="461" w:hanging="259"/>
      </w:pPr>
      <w:r>
        <w:rPr>
          <w:rFonts w:ascii="Mendl Sans Dusk Regular" w:hAnsi="Mendl Sans Dusk Regular"/>
          <w:b w:val="0"/>
          <w:color w:val="202723"/>
          <w:sz w:val="21"/>
        </w:rPr>
        <w:t>site logistics, security, access and delivery controls;</w:t>
      </w:r>
    </w:p>
    <w:p>
      <w:pPr>
        <w:pStyle w:val="ListBullet"/>
        <w:spacing w:after="80" w:line="276" w:lineRule="auto"/>
        <w:ind w:left="461" w:hanging="259"/>
      </w:pPr>
      <w:r>
        <w:rPr>
          <w:rFonts w:ascii="Mendl Sans Dusk Regular" w:hAnsi="Mendl Sans Dusk Regular"/>
          <w:b w:val="0"/>
          <w:color w:val="202723"/>
          <w:sz w:val="21"/>
        </w:rPr>
        <w:t>jurisdiction-selected safety plan, emergency plan and hazard communication;</w:t>
      </w:r>
    </w:p>
    <w:p>
      <w:pPr>
        <w:pStyle w:val="ListBullet"/>
        <w:spacing w:after="80" w:line="276" w:lineRule="auto"/>
        <w:ind w:left="461" w:hanging="259"/>
      </w:pPr>
      <w:r>
        <w:rPr>
          <w:rFonts w:ascii="Mendl Sans Dusk Regular" w:hAnsi="Mendl Sans Dusk Regular"/>
          <w:b w:val="0"/>
          <w:color w:val="202723"/>
          <w:sz w:val="21"/>
        </w:rPr>
        <w:t>quality inspection and test plan;</w:t>
      </w:r>
    </w:p>
    <w:p>
      <w:pPr>
        <w:pStyle w:val="ListBullet"/>
        <w:spacing w:after="80" w:line="276" w:lineRule="auto"/>
        <w:ind w:left="461" w:hanging="259"/>
      </w:pPr>
      <w:r>
        <w:rPr>
          <w:rFonts w:ascii="Mendl Sans Dusk Regular" w:hAnsi="Mendl Sans Dusk Regular"/>
          <w:b w:val="0"/>
          <w:color w:val="202723"/>
          <w:sz w:val="21"/>
        </w:rPr>
        <w:t>reporting cadence and owner meeting format;</w:t>
      </w:r>
    </w:p>
    <w:p>
      <w:pPr>
        <w:pStyle w:val="ListBullet"/>
        <w:spacing w:after="80" w:line="276" w:lineRule="auto"/>
        <w:ind w:left="461" w:hanging="259"/>
      </w:pPr>
      <w:r>
        <w:rPr>
          <w:rFonts w:ascii="Mendl Sans Dusk Regular" w:hAnsi="Mendl Sans Dusk Regular"/>
          <w:b w:val="0"/>
          <w:color w:val="202723"/>
          <w:sz w:val="21"/>
        </w:rPr>
        <w:t>closeout requirements from the beginning.</w:t>
      </w:r>
    </w:p>
    <w:p>
      <w:r>
        <w:rPr>
          <w:rFonts w:ascii="Mendl Sans Dusk Regular" w:hAnsi="Mendl Sans Dusk Regular"/>
          <w:b w:val="0"/>
          <w:color w:val="202723"/>
          <w:sz w:val="21"/>
        </w:rPr>
        <w:t>Mobilization may be conditional when early work is authorized, but the exception must identify what is authorized, what is prohibited, who approved it and when full controls will be complete.</w:t>
      </w:r>
    </w:p>
    <w:p>
      <w:pPr>
        <w:pStyle w:val="Heading2"/>
      </w:pPr>
      <w:r>
        <w:rPr>
          <w:rFonts w:ascii="Mendl Sans Dusk Medium" w:hAnsi="Mendl Sans Dusk Medium"/>
          <w:b w:val="0"/>
          <w:color w:val="628F79"/>
          <w:sz w:val="26"/>
        </w:rPr>
        <w:t>12. Schedule and production control</w:t>
      </w:r>
    </w:p>
    <w:p>
      <w:r>
        <w:rPr>
          <w:rFonts w:ascii="Mendl Sans Dusk Regular" w:hAnsi="Mendl Sans Dusk Regular"/>
          <w:b w:val="0"/>
          <w:color w:val="202723"/>
          <w:sz w:val="21"/>
        </w:rPr>
        <w:t>The project schedule shall reflect contract milestones, permits, submittals, procurement, owner decisions, labor/equipment needs, inspections, commissioning and closeout. The baseline requires PM and superintendent acceptance.</w:t>
      </w:r>
    </w:p>
    <w:p>
      <w:r>
        <w:rPr>
          <w:rFonts w:ascii="Mendl Sans Dusk Regular" w:hAnsi="Mendl Sans Dusk Regular"/>
          <w:b w:val="0"/>
          <w:color w:val="202723"/>
          <w:sz w:val="21"/>
        </w:rPr>
        <w:t>The superintendent maintains a rolling three-week lookahead that:</w:t>
      </w:r>
    </w:p>
    <w:p>
      <w:pPr>
        <w:pStyle w:val="ListBullet"/>
        <w:spacing w:after="80" w:line="276" w:lineRule="auto"/>
        <w:ind w:left="461" w:hanging="259"/>
      </w:pPr>
      <w:r>
        <w:rPr>
          <w:rFonts w:ascii="Mendl Sans Dusk Regular" w:hAnsi="Mendl Sans Dusk Regular"/>
          <w:b w:val="0"/>
          <w:color w:val="202723"/>
          <w:sz w:val="21"/>
        </w:rPr>
        <w:t>identifies activities by location and responsible trade;</w:t>
      </w:r>
    </w:p>
    <w:p>
      <w:pPr>
        <w:pStyle w:val="ListBullet"/>
        <w:spacing w:after="80" w:line="276" w:lineRule="auto"/>
        <w:ind w:left="461" w:hanging="259"/>
      </w:pPr>
      <w:r>
        <w:rPr>
          <w:rFonts w:ascii="Mendl Sans Dusk Regular" w:hAnsi="Mendl Sans Dusk Regular"/>
          <w:b w:val="0"/>
          <w:color w:val="202723"/>
          <w:sz w:val="21"/>
        </w:rPr>
        <w:t>shows constraints and required decisions;</w:t>
      </w:r>
    </w:p>
    <w:p>
      <w:pPr>
        <w:pStyle w:val="ListBullet"/>
        <w:spacing w:after="80" w:line="276" w:lineRule="auto"/>
        <w:ind w:left="461" w:hanging="259"/>
      </w:pPr>
      <w:r>
        <w:rPr>
          <w:rFonts w:ascii="Mendl Sans Dusk Regular" w:hAnsi="Mendl Sans Dusk Regular"/>
          <w:b w:val="0"/>
          <w:color w:val="202723"/>
          <w:sz w:val="21"/>
        </w:rPr>
        <w:t>aligns inspections, permits, materials and equipment;</w:t>
      </w:r>
    </w:p>
    <w:p>
      <w:pPr>
        <w:pStyle w:val="ListBullet"/>
        <w:spacing w:after="80" w:line="276" w:lineRule="auto"/>
        <w:ind w:left="461" w:hanging="259"/>
      </w:pPr>
      <w:r>
        <w:rPr>
          <w:rFonts w:ascii="Mendl Sans Dusk Regular" w:hAnsi="Mendl Sans Dusk Regular"/>
          <w:b w:val="0"/>
          <w:color w:val="202723"/>
          <w:sz w:val="21"/>
        </w:rPr>
        <w:t>anticipates trade stacking and access conflicts;</w:t>
      </w:r>
    </w:p>
    <w:p>
      <w:pPr>
        <w:pStyle w:val="ListBullet"/>
        <w:spacing w:after="80" w:line="276" w:lineRule="auto"/>
        <w:ind w:left="461" w:hanging="259"/>
      </w:pPr>
      <w:r>
        <w:rPr>
          <w:rFonts w:ascii="Mendl Sans Dusk Regular" w:hAnsi="Mendl Sans Dusk Regular"/>
          <w:b w:val="0"/>
          <w:color w:val="202723"/>
          <w:sz w:val="21"/>
        </w:rPr>
        <w:t>identifies safety and quality planning needs;</w:t>
      </w:r>
    </w:p>
    <w:p>
      <w:pPr>
        <w:pStyle w:val="ListBullet"/>
        <w:spacing w:after="80" w:line="276" w:lineRule="auto"/>
        <w:ind w:left="461" w:hanging="259"/>
      </w:pPr>
      <w:r>
        <w:rPr>
          <w:rFonts w:ascii="Mendl Sans Dusk Regular" w:hAnsi="Mendl Sans Dusk Regular"/>
          <w:b w:val="0"/>
          <w:color w:val="202723"/>
          <w:sz w:val="21"/>
        </w:rPr>
        <w:t>records completed work and variance.</w:t>
      </w:r>
    </w:p>
    <w:p>
      <w:r>
        <w:rPr>
          <w:rFonts w:ascii="Mendl Sans Dusk Regular" w:hAnsi="Mendl Sans Dusk Regular"/>
          <w:b w:val="0"/>
          <w:color w:val="202723"/>
          <w:sz w:val="21"/>
        </w:rPr>
        <w:t>Schedule updates must distinguish actual progress, approved changes, pending impacts and recovery actions. Material delay must trigger timely notice under the contract.</w:t>
      </w:r>
    </w:p>
    <w:p>
      <w:pPr>
        <w:pStyle w:val="Heading2"/>
      </w:pPr>
      <w:r>
        <w:rPr>
          <w:rFonts w:ascii="Mendl Sans Dusk Medium" w:hAnsi="Mendl Sans Dusk Medium"/>
          <w:b w:val="0"/>
          <w:color w:val="628F79"/>
          <w:sz w:val="26"/>
        </w:rPr>
        <w:t>13. Information, RFI and submittal control</w:t>
      </w:r>
    </w:p>
    <w:p>
      <w:r>
        <w:rPr>
          <w:rFonts w:ascii="Mendl Sans Dusk Regular" w:hAnsi="Mendl Sans Dusk Regular"/>
          <w:b w:val="0"/>
          <w:color w:val="202723"/>
          <w:sz w:val="21"/>
        </w:rPr>
        <w:t>Project information shall be issued from the approved system of record. Current drawings and specifications must be identifiable in the field.</w:t>
      </w:r>
    </w:p>
    <w:p>
      <w:r>
        <w:rPr>
          <w:rFonts w:ascii="Mendl Sans Dusk Regular" w:hAnsi="Mendl Sans Dusk Regular"/>
          <w:b w:val="0"/>
          <w:color w:val="202723"/>
          <w:sz w:val="21"/>
        </w:rPr>
        <w:t>RFIs shall state the conflict or missing information, show the relevant documents, propose a solution when appropriate, and identify cost/schedule impact without hiding it. Submittals shall be checked for completeness, contract alignment and coordination before forwarding.</w:t>
      </w:r>
    </w:p>
    <w:p>
      <w:r>
        <w:rPr>
          <w:rFonts w:ascii="Mendl Sans Dusk Regular" w:hAnsi="Mendl Sans Dusk Regular"/>
          <w:b w:val="0"/>
          <w:color w:val="202723"/>
          <w:sz w:val="21"/>
        </w:rPr>
        <w:t>No response is implemented if it creates an unapproved scope, cost, schedule, code, safety or design change. Design decisions remain with the responsible design professional.</w:t>
      </w:r>
    </w:p>
    <w:p>
      <w:pPr>
        <w:pStyle w:val="Heading2"/>
      </w:pPr>
      <w:r>
        <w:rPr>
          <w:rFonts w:ascii="Mendl Sans Dusk Medium" w:hAnsi="Mendl Sans Dusk Medium"/>
          <w:b w:val="0"/>
          <w:color w:val="628F79"/>
          <w:sz w:val="26"/>
        </w:rPr>
        <w:t>14. Change management</w:t>
      </w:r>
    </w:p>
    <w:p>
      <w:r>
        <w:rPr>
          <w:rFonts w:ascii="Mendl Sans Dusk Regular" w:hAnsi="Mendl Sans Dusk Regular"/>
          <w:b w:val="0"/>
          <w:color w:val="202723"/>
          <w:sz w:val="21"/>
        </w:rPr>
        <w:t>Potential change events shall be logged when first recognized, not after cost is incurred. The record includes:</w:t>
      </w:r>
    </w:p>
    <w:p>
      <w:pPr>
        <w:pStyle w:val="ListBullet"/>
        <w:spacing w:after="80" w:line="276" w:lineRule="auto"/>
        <w:ind w:left="461" w:hanging="259"/>
      </w:pPr>
      <w:r>
        <w:rPr>
          <w:rFonts w:ascii="Mendl Sans Dusk Regular" w:hAnsi="Mendl Sans Dusk Regular"/>
          <w:b w:val="0"/>
          <w:color w:val="202723"/>
          <w:sz w:val="21"/>
        </w:rPr>
        <w:t>cause and initiating party;</w:t>
      </w:r>
    </w:p>
    <w:p>
      <w:pPr>
        <w:pStyle w:val="ListBullet"/>
        <w:spacing w:after="80" w:line="276" w:lineRule="auto"/>
        <w:ind w:left="461" w:hanging="259"/>
      </w:pPr>
      <w:r>
        <w:rPr>
          <w:rFonts w:ascii="Mendl Sans Dusk Regular" w:hAnsi="Mendl Sans Dusk Regular"/>
          <w:b w:val="0"/>
          <w:color w:val="202723"/>
          <w:sz w:val="21"/>
        </w:rPr>
        <w:t>scope narrative and document reference;</w:t>
      </w:r>
    </w:p>
    <w:p>
      <w:pPr>
        <w:pStyle w:val="ListBullet"/>
        <w:spacing w:after="80" w:line="276" w:lineRule="auto"/>
        <w:ind w:left="461" w:hanging="259"/>
      </w:pPr>
      <w:r>
        <w:rPr>
          <w:rFonts w:ascii="Mendl Sans Dusk Regular" w:hAnsi="Mendl Sans Dusk Regular"/>
          <w:b w:val="0"/>
          <w:color w:val="202723"/>
          <w:sz w:val="21"/>
        </w:rPr>
        <w:t>notice deadline and notice sent;</w:t>
      </w:r>
    </w:p>
    <w:p>
      <w:pPr>
        <w:pStyle w:val="ListBullet"/>
        <w:spacing w:after="80" w:line="276" w:lineRule="auto"/>
        <w:ind w:left="461" w:hanging="259"/>
      </w:pPr>
      <w:r>
        <w:rPr>
          <w:rFonts w:ascii="Mendl Sans Dusk Regular" w:hAnsi="Mendl Sans Dusk Regular"/>
          <w:b w:val="0"/>
          <w:color w:val="202723"/>
          <w:sz w:val="21"/>
        </w:rPr>
        <w:t>labor, material, equipment and subcontractor cost;</w:t>
      </w:r>
    </w:p>
    <w:p>
      <w:pPr>
        <w:pStyle w:val="ListBullet"/>
        <w:spacing w:after="80" w:line="276" w:lineRule="auto"/>
        <w:ind w:left="461" w:hanging="259"/>
      </w:pPr>
      <w:r>
        <w:rPr>
          <w:rFonts w:ascii="Mendl Sans Dusk Regular" w:hAnsi="Mendl Sans Dusk Regular"/>
          <w:b w:val="0"/>
          <w:color w:val="202723"/>
          <w:sz w:val="21"/>
        </w:rPr>
        <w:t>markup and pricing basis;</w:t>
      </w:r>
    </w:p>
    <w:p>
      <w:pPr>
        <w:pStyle w:val="ListBullet"/>
        <w:spacing w:after="80" w:line="276" w:lineRule="auto"/>
        <w:ind w:left="461" w:hanging="259"/>
      </w:pPr>
      <w:r>
        <w:rPr>
          <w:rFonts w:ascii="Mendl Sans Dusk Regular" w:hAnsi="Mendl Sans Dusk Regular"/>
          <w:b w:val="0"/>
          <w:color w:val="202723"/>
          <w:sz w:val="21"/>
        </w:rPr>
        <w:t>schedule impact and mitigation;</w:t>
      </w:r>
    </w:p>
    <w:p>
      <w:pPr>
        <w:pStyle w:val="ListBullet"/>
        <w:spacing w:after="80" w:line="276" w:lineRule="auto"/>
        <w:ind w:left="461" w:hanging="259"/>
      </w:pPr>
      <w:r>
        <w:rPr>
          <w:rFonts w:ascii="Mendl Sans Dusk Regular" w:hAnsi="Mendl Sans Dusk Regular"/>
          <w:b w:val="0"/>
          <w:color w:val="202723"/>
          <w:sz w:val="21"/>
        </w:rPr>
        <w:t>status, aging and responsible owner;</w:t>
      </w:r>
    </w:p>
    <w:p>
      <w:pPr>
        <w:pStyle w:val="ListBullet"/>
        <w:spacing w:after="80" w:line="276" w:lineRule="auto"/>
        <w:ind w:left="461" w:hanging="259"/>
      </w:pPr>
      <w:r>
        <w:rPr>
          <w:rFonts w:ascii="Mendl Sans Dusk Regular" w:hAnsi="Mendl Sans Dusk Regular"/>
          <w:b w:val="0"/>
          <w:color w:val="202723"/>
          <w:sz w:val="21"/>
        </w:rPr>
        <w:t>authorization to proceed;</w:t>
      </w:r>
    </w:p>
    <w:p>
      <w:pPr>
        <w:pStyle w:val="ListBullet"/>
        <w:spacing w:after="80" w:line="276" w:lineRule="auto"/>
        <w:ind w:left="461" w:hanging="259"/>
      </w:pPr>
      <w:r>
        <w:rPr>
          <w:rFonts w:ascii="Mendl Sans Dusk Regular" w:hAnsi="Mendl Sans Dusk Regular"/>
          <w:b w:val="0"/>
          <w:color w:val="202723"/>
          <w:sz w:val="21"/>
        </w:rPr>
        <w:t>executed change and budget update.</w:t>
      </w:r>
    </w:p>
    <w:p>
      <w:r>
        <w:rPr>
          <w:rFonts w:ascii="Mendl Sans Dusk Regular" w:hAnsi="Mendl Sans Dusk Regular"/>
          <w:b w:val="0"/>
          <w:color w:val="202723"/>
          <w:sz w:val="21"/>
        </w:rPr>
        <w:t>Field direction does not automatically authorize uncompensated work. Emergency actions needed to protect life or property may proceed under emergency authority, with documentation and notice as soon as practicable.</w:t>
      </w:r>
    </w:p>
    <w:p>
      <w:pPr>
        <w:pStyle w:val="Heading2"/>
      </w:pPr>
      <w:r>
        <w:rPr>
          <w:rFonts w:ascii="Mendl Sans Dusk Medium" w:hAnsi="Mendl Sans Dusk Medium"/>
          <w:b w:val="0"/>
          <w:color w:val="628F79"/>
          <w:sz w:val="26"/>
        </w:rPr>
        <w:t>15. Cost, forecast and billing control</w:t>
      </w:r>
    </w:p>
    <w:p>
      <w:r>
        <w:rPr>
          <w:rFonts w:ascii="Mendl Sans Dusk Regular" w:hAnsi="Mendl Sans Dusk Regular"/>
          <w:b w:val="0"/>
          <w:color w:val="202723"/>
          <w:sz w:val="21"/>
        </w:rPr>
        <w:t>The PM owns the project forecast; finance owns accounting integrity. At least monthly, each project shall review:</w:t>
      </w:r>
    </w:p>
    <w:p>
      <w:pPr>
        <w:pStyle w:val="ListBullet"/>
        <w:spacing w:after="80" w:line="276" w:lineRule="auto"/>
        <w:ind w:left="461" w:hanging="259"/>
      </w:pPr>
      <w:r>
        <w:rPr>
          <w:rFonts w:ascii="Mendl Sans Dusk Regular" w:hAnsi="Mendl Sans Dusk Regular"/>
          <w:b w:val="0"/>
          <w:color w:val="202723"/>
          <w:sz w:val="21"/>
        </w:rPr>
        <w:t>original and current contract value;</w:t>
      </w:r>
    </w:p>
    <w:p>
      <w:pPr>
        <w:pStyle w:val="ListBullet"/>
        <w:spacing w:after="80" w:line="276" w:lineRule="auto"/>
        <w:ind w:left="461" w:hanging="259"/>
      </w:pPr>
      <w:r>
        <w:rPr>
          <w:rFonts w:ascii="Mendl Sans Dusk Regular" w:hAnsi="Mendl Sans Dusk Regular"/>
          <w:b w:val="0"/>
          <w:color w:val="202723"/>
          <w:sz w:val="21"/>
        </w:rPr>
        <w:t>approved and pending changes;</w:t>
      </w:r>
    </w:p>
    <w:p>
      <w:pPr>
        <w:pStyle w:val="ListBullet"/>
        <w:spacing w:after="80" w:line="276" w:lineRule="auto"/>
        <w:ind w:left="461" w:hanging="259"/>
      </w:pPr>
      <w:r>
        <w:rPr>
          <w:rFonts w:ascii="Mendl Sans Dusk Regular" w:hAnsi="Mendl Sans Dusk Regular"/>
          <w:b w:val="0"/>
          <w:color w:val="202723"/>
          <w:sz w:val="21"/>
        </w:rPr>
        <w:t>original and current budget;</w:t>
      </w:r>
    </w:p>
    <w:p>
      <w:pPr>
        <w:pStyle w:val="ListBullet"/>
        <w:spacing w:after="80" w:line="276" w:lineRule="auto"/>
        <w:ind w:left="461" w:hanging="259"/>
      </w:pPr>
      <w:r>
        <w:rPr>
          <w:rFonts w:ascii="Mendl Sans Dusk Regular" w:hAnsi="Mendl Sans Dusk Regular"/>
          <w:b w:val="0"/>
          <w:color w:val="202723"/>
          <w:sz w:val="21"/>
        </w:rPr>
        <w:t>commitments, actual cost and accruals;</w:t>
      </w:r>
    </w:p>
    <w:p>
      <w:pPr>
        <w:pStyle w:val="ListBullet"/>
        <w:spacing w:after="80" w:line="276" w:lineRule="auto"/>
        <w:ind w:left="461" w:hanging="259"/>
      </w:pPr>
      <w:r>
        <w:rPr>
          <w:rFonts w:ascii="Mendl Sans Dusk Regular" w:hAnsi="Mendl Sans Dusk Regular"/>
          <w:b w:val="0"/>
          <w:color w:val="202723"/>
          <w:sz w:val="21"/>
        </w:rPr>
        <w:t>cost to complete by cost code;</w:t>
      </w:r>
    </w:p>
    <w:p>
      <w:pPr>
        <w:pStyle w:val="ListBullet"/>
        <w:spacing w:after="80" w:line="276" w:lineRule="auto"/>
        <w:ind w:left="461" w:hanging="259"/>
      </w:pPr>
      <w:r>
        <w:rPr>
          <w:rFonts w:ascii="Mendl Sans Dusk Regular" w:hAnsi="Mendl Sans Dusk Regular"/>
          <w:b w:val="0"/>
          <w:color w:val="202723"/>
          <w:sz w:val="21"/>
        </w:rPr>
        <w:t>forecast final cost and margin;</w:t>
      </w:r>
    </w:p>
    <w:p>
      <w:pPr>
        <w:pStyle w:val="ListBullet"/>
        <w:spacing w:after="80" w:line="276" w:lineRule="auto"/>
        <w:ind w:left="461" w:hanging="259"/>
      </w:pPr>
      <w:r>
        <w:rPr>
          <w:rFonts w:ascii="Mendl Sans Dusk Regular" w:hAnsi="Mendl Sans Dusk Regular"/>
          <w:b w:val="0"/>
          <w:color w:val="202723"/>
          <w:sz w:val="21"/>
        </w:rPr>
        <w:t>owner billing, cash receipts and retainage;</w:t>
      </w:r>
    </w:p>
    <w:p>
      <w:pPr>
        <w:pStyle w:val="ListBullet"/>
        <w:spacing w:after="80" w:line="276" w:lineRule="auto"/>
        <w:ind w:left="461" w:hanging="259"/>
      </w:pPr>
      <w:r>
        <w:rPr>
          <w:rFonts w:ascii="Mendl Sans Dusk Regular" w:hAnsi="Mendl Sans Dusk Regular"/>
          <w:b w:val="0"/>
          <w:color w:val="202723"/>
          <w:sz w:val="21"/>
        </w:rPr>
        <w:t>subcontractor/vendor invoices and payment status;</w:t>
      </w:r>
    </w:p>
    <w:p>
      <w:pPr>
        <w:pStyle w:val="ListBullet"/>
        <w:spacing w:after="80" w:line="276" w:lineRule="auto"/>
        <w:ind w:left="461" w:hanging="259"/>
      </w:pPr>
      <w:r>
        <w:rPr>
          <w:rFonts w:ascii="Mendl Sans Dusk Regular" w:hAnsi="Mendl Sans Dusk Regular"/>
          <w:b w:val="0"/>
          <w:color w:val="202723"/>
          <w:sz w:val="21"/>
        </w:rPr>
        <w:t>under/over billing and cash exposure;</w:t>
      </w:r>
    </w:p>
    <w:p>
      <w:pPr>
        <w:pStyle w:val="ListBullet"/>
        <w:spacing w:after="80" w:line="276" w:lineRule="auto"/>
        <w:ind w:left="461" w:hanging="259"/>
      </w:pPr>
      <w:r>
        <w:rPr>
          <w:rFonts w:ascii="Mendl Sans Dusk Regular" w:hAnsi="Mendl Sans Dusk Regular"/>
          <w:b w:val="0"/>
          <w:color w:val="202723"/>
          <w:sz w:val="21"/>
        </w:rPr>
        <w:t>major risks, opportunities and contingency movement.</w:t>
      </w:r>
    </w:p>
    <w:p>
      <w:r>
        <w:rPr>
          <w:rFonts w:ascii="Mendl Sans Dusk Regular" w:hAnsi="Mendl Sans Dusk Regular"/>
          <w:b w:val="0"/>
          <w:color w:val="202723"/>
          <w:sz w:val="21"/>
        </w:rPr>
        <w:t>Forecasts must reflect best current information. Delaying recognition of a loss, known cost or schedule impact violates company policy.</w:t>
      </w:r>
    </w:p>
    <w:p>
      <w:pPr>
        <w:pStyle w:val="Heading2"/>
      </w:pPr>
      <w:r>
        <w:rPr>
          <w:rFonts w:ascii="Mendl Sans Dusk Medium" w:hAnsi="Mendl Sans Dusk Medium"/>
          <w:b w:val="0"/>
          <w:color w:val="628F79"/>
          <w:sz w:val="26"/>
        </w:rPr>
        <w:t>16. Meetings and client communication</w:t>
      </w:r>
    </w:p>
    <w:p>
      <w:r>
        <w:rPr>
          <w:rFonts w:ascii="Mendl Sans Dusk Regular" w:hAnsi="Mendl Sans Dusk Regular"/>
          <w:b w:val="0"/>
          <w:color w:val="202723"/>
          <w:sz w:val="21"/>
        </w:rPr>
        <w:t>Meetings shall use an agenda, assigned actions and a decision log. Minutes are distributed promptly under the contract or company standard. If minutes misstate a material fact, the PM shall correct the record within the applicable notice period.</w:t>
      </w:r>
    </w:p>
    <w:p>
      <w:r>
        <w:rPr>
          <w:rFonts w:ascii="Mendl Sans Dusk Regular" w:hAnsi="Mendl Sans Dusk Regular"/>
          <w:b w:val="0"/>
          <w:color w:val="202723"/>
          <w:sz w:val="21"/>
        </w:rPr>
        <w:t>Client communication should be timely and direct. Relationship preservation does not justify concealment of risk or waiver of notice rights.</w:t>
      </w:r>
    </w:p>
    <w:p>
      <w:pPr>
        <w:pStyle w:val="Heading2"/>
      </w:pPr>
      <w:r>
        <w:rPr>
          <w:rFonts w:ascii="Mendl Sans Dusk Medium" w:hAnsi="Mendl Sans Dusk Medium"/>
          <w:b w:val="0"/>
          <w:color w:val="628F79"/>
          <w:sz w:val="26"/>
        </w:rPr>
        <w:t>17. Closeout and warranty</w:t>
      </w:r>
    </w:p>
    <w:p>
      <w:r>
        <w:rPr>
          <w:rFonts w:ascii="Mendl Sans Dusk Regular" w:hAnsi="Mendl Sans Dusk Regular"/>
          <w:b w:val="0"/>
          <w:color w:val="202723"/>
          <w:sz w:val="21"/>
        </w:rPr>
        <w:t>Closeout planning begins at mobilization and becomes a formal workstream no later than 75 percent completion. Required items may include:</w:t>
      </w:r>
    </w:p>
    <w:p>
      <w:pPr>
        <w:pStyle w:val="ListBullet"/>
        <w:spacing w:after="80" w:line="276" w:lineRule="auto"/>
        <w:ind w:left="461" w:hanging="259"/>
      </w:pPr>
      <w:r>
        <w:rPr>
          <w:rFonts w:ascii="Mendl Sans Dusk Regular" w:hAnsi="Mendl Sans Dusk Regular"/>
          <w:b w:val="0"/>
          <w:color w:val="202723"/>
          <w:sz w:val="21"/>
        </w:rPr>
        <w:t>punch and deficiency completion;</w:t>
      </w:r>
    </w:p>
    <w:p>
      <w:pPr>
        <w:pStyle w:val="ListBullet"/>
        <w:spacing w:after="80" w:line="276" w:lineRule="auto"/>
        <w:ind w:left="461" w:hanging="259"/>
      </w:pPr>
      <w:r>
        <w:rPr>
          <w:rFonts w:ascii="Mendl Sans Dusk Regular" w:hAnsi="Mendl Sans Dusk Regular"/>
          <w:b w:val="0"/>
          <w:color w:val="202723"/>
          <w:sz w:val="21"/>
        </w:rPr>
        <w:t>inspections, testing and certificates;</w:t>
      </w:r>
    </w:p>
    <w:p>
      <w:pPr>
        <w:pStyle w:val="ListBullet"/>
        <w:spacing w:after="80" w:line="276" w:lineRule="auto"/>
        <w:ind w:left="461" w:hanging="259"/>
      </w:pPr>
      <w:r>
        <w:rPr>
          <w:rFonts w:ascii="Mendl Sans Dusk Regular" w:hAnsi="Mendl Sans Dusk Regular"/>
          <w:b w:val="0"/>
          <w:color w:val="202723"/>
          <w:sz w:val="21"/>
        </w:rPr>
        <w:t>commissioning and owner training;</w:t>
      </w:r>
    </w:p>
    <w:p>
      <w:pPr>
        <w:pStyle w:val="ListBullet"/>
        <w:spacing w:after="80" w:line="276" w:lineRule="auto"/>
        <w:ind w:left="461" w:hanging="259"/>
      </w:pPr>
      <w:r>
        <w:rPr>
          <w:rFonts w:ascii="Mendl Sans Dusk Regular" w:hAnsi="Mendl Sans Dusk Regular"/>
          <w:b w:val="0"/>
          <w:color w:val="202723"/>
          <w:sz w:val="21"/>
        </w:rPr>
        <w:t>O&amp;M manuals, warranties and spare parts;</w:t>
      </w:r>
    </w:p>
    <w:p>
      <w:pPr>
        <w:pStyle w:val="ListBullet"/>
        <w:spacing w:after="80" w:line="276" w:lineRule="auto"/>
        <w:ind w:left="461" w:hanging="259"/>
      </w:pPr>
      <w:r>
        <w:rPr>
          <w:rFonts w:ascii="Mendl Sans Dusk Regular" w:hAnsi="Mendl Sans Dusk Regular"/>
          <w:b w:val="0"/>
          <w:color w:val="202723"/>
          <w:sz w:val="21"/>
        </w:rPr>
        <w:t>as-built drawings and approved submittals;</w:t>
      </w:r>
    </w:p>
    <w:p>
      <w:pPr>
        <w:pStyle w:val="ListBullet"/>
        <w:spacing w:after="80" w:line="276" w:lineRule="auto"/>
        <w:ind w:left="461" w:hanging="259"/>
      </w:pPr>
      <w:r>
        <w:rPr>
          <w:rFonts w:ascii="Mendl Sans Dusk Regular" w:hAnsi="Mendl Sans Dusk Regular"/>
          <w:b w:val="0"/>
          <w:color w:val="202723"/>
          <w:sz w:val="21"/>
        </w:rPr>
        <w:t>lien releases, consent of surety and final affidavits;</w:t>
      </w:r>
    </w:p>
    <w:p>
      <w:pPr>
        <w:pStyle w:val="ListBullet"/>
        <w:spacing w:after="80" w:line="276" w:lineRule="auto"/>
        <w:ind w:left="461" w:hanging="259"/>
      </w:pPr>
      <w:r>
        <w:rPr>
          <w:rFonts w:ascii="Mendl Sans Dusk Regular" w:hAnsi="Mendl Sans Dusk Regular"/>
          <w:b w:val="0"/>
          <w:color w:val="202723"/>
          <w:sz w:val="21"/>
        </w:rPr>
        <w:t>keys, access, attic stock and asset data;</w:t>
      </w:r>
    </w:p>
    <w:p>
      <w:pPr>
        <w:pStyle w:val="ListBullet"/>
        <w:spacing w:after="80" w:line="276" w:lineRule="auto"/>
        <w:ind w:left="461" w:hanging="259"/>
      </w:pPr>
      <w:r>
        <w:rPr>
          <w:rFonts w:ascii="Mendl Sans Dusk Regular" w:hAnsi="Mendl Sans Dusk Regular"/>
          <w:b w:val="0"/>
          <w:color w:val="202723"/>
          <w:sz w:val="21"/>
        </w:rPr>
        <w:t>demobilization and environmental restoration;</w:t>
      </w:r>
    </w:p>
    <w:p>
      <w:pPr>
        <w:pStyle w:val="ListBullet"/>
        <w:spacing w:after="80" w:line="276" w:lineRule="auto"/>
        <w:ind w:left="461" w:hanging="259"/>
      </w:pPr>
      <w:r>
        <w:rPr>
          <w:rFonts w:ascii="Mendl Sans Dusk Regular" w:hAnsi="Mendl Sans Dusk Regular"/>
          <w:b w:val="0"/>
          <w:color w:val="202723"/>
          <w:sz w:val="21"/>
        </w:rPr>
        <w:t>financial close and final payment;</w:t>
      </w:r>
    </w:p>
    <w:p>
      <w:pPr>
        <w:pStyle w:val="ListBullet"/>
        <w:spacing w:after="80" w:line="276" w:lineRule="auto"/>
        <w:ind w:left="461" w:hanging="259"/>
      </w:pPr>
      <w:r>
        <w:rPr>
          <w:rFonts w:ascii="Mendl Sans Dusk Regular" w:hAnsi="Mendl Sans Dusk Regular"/>
          <w:b w:val="0"/>
          <w:color w:val="202723"/>
          <w:sz w:val="21"/>
        </w:rPr>
        <w:t>project archive and lessons learned.</w:t>
      </w:r>
    </w:p>
    <w:p>
      <w:r>
        <w:rPr>
          <w:rFonts w:ascii="Mendl Sans Dusk Regular" w:hAnsi="Mendl Sans Dusk Regular"/>
          <w:b w:val="0"/>
          <w:color w:val="202723"/>
          <w:sz w:val="21"/>
        </w:rPr>
        <w:t>Warranty requests shall be logged, acknowledged, assigned, resolved and analyzed for recurring causes.</w:t>
      </w:r>
    </w:p>
    <w:p>
      <w:pPr>
        <w:pStyle w:val="Heading1"/>
      </w:pPr>
      <w:r>
        <w:rPr>
          <w:rFonts w:ascii="Mendl Sans Dusk Bold" w:hAnsi="Mendl Sans Dusk Bold"/>
          <w:b/>
          <w:color w:val="386851"/>
          <w:sz w:val="32"/>
        </w:rPr>
        <w:t>Part IV - Finance, procurement and subcontractors</w:t>
      </w:r>
    </w:p>
    <w:p>
      <w:pPr>
        <w:pStyle w:val="Heading2"/>
      </w:pPr>
      <w:r>
        <w:rPr>
          <w:rFonts w:ascii="Mendl Sans Dusk Medium" w:hAnsi="Mendl Sans Dusk Medium"/>
          <w:b w:val="0"/>
          <w:color w:val="628F79"/>
          <w:sz w:val="26"/>
        </w:rPr>
        <w:t>18. Enterprise financial controls</w:t>
      </w:r>
    </w:p>
    <w:p>
      <w:pPr>
        <w:pStyle w:val="Heading3"/>
      </w:pPr>
      <w:r>
        <w:rPr>
          <w:rFonts w:ascii="Mendl Sans Dusk Medium" w:hAnsi="Mendl Sans Dusk Medium"/>
          <w:b w:val="0"/>
          <w:color w:val="1E392C"/>
          <w:sz w:val="23"/>
        </w:rPr>
        <w:t>18.1 Core principles</w:t>
      </w:r>
    </w:p>
    <w:p>
      <w:pPr>
        <w:pStyle w:val="ListBullet"/>
        <w:spacing w:after="80" w:line="276" w:lineRule="auto"/>
        <w:ind w:left="461" w:hanging="259"/>
      </w:pPr>
      <w:r>
        <w:rPr>
          <w:rFonts w:ascii="Mendl Sans Dusk Regular" w:hAnsi="Mendl Sans Dusk Regular"/>
          <w:b w:val="0"/>
          <w:color w:val="202723"/>
          <w:sz w:val="21"/>
        </w:rPr>
        <w:t>Company and project transactions shall be timely, accurate, complete and supported.</w:t>
      </w:r>
    </w:p>
    <w:p>
      <w:pPr>
        <w:pStyle w:val="ListBullet"/>
        <w:spacing w:after="80" w:line="276" w:lineRule="auto"/>
        <w:ind w:left="461" w:hanging="259"/>
      </w:pPr>
      <w:r>
        <w:rPr>
          <w:rFonts w:ascii="Mendl Sans Dusk Regular" w:hAnsi="Mendl Sans Dusk Regular"/>
          <w:b w:val="0"/>
          <w:color w:val="202723"/>
          <w:sz w:val="21"/>
        </w:rPr>
        <w:t>Bank, accounting and project systems shall reconcile.</w:t>
      </w:r>
    </w:p>
    <w:p>
      <w:pPr>
        <w:pStyle w:val="ListBullet"/>
        <w:spacing w:after="80" w:line="276" w:lineRule="auto"/>
        <w:ind w:left="461" w:hanging="259"/>
      </w:pPr>
      <w:r>
        <w:rPr>
          <w:rFonts w:ascii="Mendl Sans Dusk Regular" w:hAnsi="Mendl Sans Dusk Regular"/>
          <w:b w:val="0"/>
          <w:color w:val="202723"/>
          <w:sz w:val="21"/>
        </w:rPr>
        <w:t>Duties shall be separated where practical; compensating review is required where staffing is limited.</w:t>
      </w:r>
    </w:p>
    <w:p>
      <w:pPr>
        <w:pStyle w:val="ListBullet"/>
        <w:spacing w:after="80" w:line="276" w:lineRule="auto"/>
        <w:ind w:left="461" w:hanging="259"/>
      </w:pPr>
      <w:r>
        <w:rPr>
          <w:rFonts w:ascii="Mendl Sans Dusk Regular" w:hAnsi="Mendl Sans Dusk Regular"/>
          <w:b w:val="0"/>
          <w:color w:val="202723"/>
          <w:sz w:val="21"/>
        </w:rPr>
        <w:t>Changes to vendor banking, payroll or payment instructions require independent verification through a trusted channel.</w:t>
      </w:r>
    </w:p>
    <w:p>
      <w:pPr>
        <w:pStyle w:val="ListBullet"/>
        <w:spacing w:after="80" w:line="276" w:lineRule="auto"/>
        <w:ind w:left="461" w:hanging="259"/>
      </w:pPr>
      <w:r>
        <w:rPr>
          <w:rFonts w:ascii="Mendl Sans Dusk Regular" w:hAnsi="Mendl Sans Dusk Regular"/>
          <w:b w:val="0"/>
          <w:color w:val="202723"/>
          <w:sz w:val="21"/>
        </w:rPr>
        <w:t>No one may approve their own expense, compensation, vendor creation or payment.</w:t>
      </w:r>
    </w:p>
    <w:p>
      <w:pPr>
        <w:pStyle w:val="Heading3"/>
      </w:pPr>
      <w:r>
        <w:rPr>
          <w:rFonts w:ascii="Mendl Sans Dusk Medium" w:hAnsi="Mendl Sans Dusk Medium"/>
          <w:b w:val="0"/>
          <w:color w:val="1E392C"/>
          <w:sz w:val="23"/>
        </w:rPr>
        <w:t>18.2 Monthly close and WIP</w:t>
      </w:r>
    </w:p>
    <w:p>
      <w:r>
        <w:rPr>
          <w:rFonts w:ascii="Mendl Sans Dusk Regular" w:hAnsi="Mendl Sans Dusk Regular"/>
          <w:b w:val="0"/>
          <w:color w:val="202723"/>
          <w:sz w:val="21"/>
        </w:rPr>
        <w:t>The monthly close includes bank and credit-card reconciliation, AP/AR review, payroll liabilities, job-cost posting, accruals, equipment cost, WIP, under/over billing, cash forecast and management review. Reconciling items require owners and deadlines.</w:t>
      </w:r>
    </w:p>
    <w:p>
      <w:pPr>
        <w:pStyle w:val="Heading3"/>
      </w:pPr>
      <w:r>
        <w:rPr>
          <w:rFonts w:ascii="Mendl Sans Dusk Medium" w:hAnsi="Mendl Sans Dusk Medium"/>
          <w:b w:val="0"/>
          <w:color w:val="1E392C"/>
          <w:sz w:val="23"/>
        </w:rPr>
        <w:t>18.3 Cash and fraud controls</w:t>
      </w:r>
    </w:p>
    <w:p>
      <w:r>
        <w:rPr>
          <w:rFonts w:ascii="Mendl Sans Dusk Regular" w:hAnsi="Mendl Sans Dusk Regular"/>
          <w:b w:val="0"/>
          <w:color w:val="202723"/>
          <w:sz w:val="21"/>
        </w:rPr>
        <w:t>Payments require approved documentation and authority. Vendor master changes, unusual refunds, urgent wires and email-only banking instructions receive enhanced verification. Suspected fraud triggers immediate preservation of evidence, access review, bank/insurer notification as appropriate and executive escalation.</w:t>
      </w:r>
    </w:p>
    <w:p>
      <w:pPr>
        <w:pStyle w:val="Heading2"/>
      </w:pPr>
      <w:r>
        <w:rPr>
          <w:rFonts w:ascii="Mendl Sans Dusk Medium" w:hAnsi="Mendl Sans Dusk Medium"/>
          <w:b w:val="0"/>
          <w:color w:val="628F79"/>
          <w:sz w:val="26"/>
        </w:rPr>
        <w:t>19. Procurement and purchasing</w:t>
      </w:r>
    </w:p>
    <w:p>
      <w:r>
        <w:rPr>
          <w:rFonts w:ascii="Mendl Sans Dusk Regular" w:hAnsi="Mendl Sans Dusk Regular"/>
          <w:b w:val="0"/>
          <w:color w:val="202723"/>
          <w:sz w:val="21"/>
        </w:rPr>
        <w:t>Procurement shall begin with defined scope, need date, approved budget and authorized requester. Competitive quotations should be obtained when practical and exceptions documented.</w:t>
      </w:r>
    </w:p>
    <w:p>
      <w:r>
        <w:rPr>
          <w:rFonts w:ascii="Mendl Sans Dusk Regular" w:hAnsi="Mendl Sans Dusk Regular"/>
          <w:b w:val="0"/>
          <w:color w:val="202723"/>
          <w:sz w:val="21"/>
        </w:rPr>
        <w:t>Purchase orders and subcontracts shall be issued before work or delivery except under approved emergency authority. Receiving evidence must be matched to the commitment and invoice. Defective, short or damaged deliveries are documented before acceptance.</w:t>
      </w:r>
    </w:p>
    <w:p>
      <w:r>
        <w:rPr>
          <w:rFonts w:ascii="Mendl Sans Dusk Regular" w:hAnsi="Mendl Sans Dusk Regular"/>
          <w:b w:val="0"/>
          <w:color w:val="202723"/>
          <w:sz w:val="21"/>
        </w:rPr>
        <w:t>Long-lead procurement shall be integrated into the project schedule and risk register.</w:t>
      </w:r>
    </w:p>
    <w:p>
      <w:pPr>
        <w:pStyle w:val="Heading2"/>
      </w:pPr>
      <w:r>
        <w:rPr>
          <w:rFonts w:ascii="Mendl Sans Dusk Medium" w:hAnsi="Mendl Sans Dusk Medium"/>
          <w:b w:val="0"/>
          <w:color w:val="628F79"/>
          <w:sz w:val="26"/>
        </w:rPr>
        <w:t>20. Subcontractor lifecycle</w:t>
      </w:r>
    </w:p>
    <w:p>
      <w:pPr>
        <w:pStyle w:val="Heading3"/>
      </w:pPr>
      <w:r>
        <w:rPr>
          <w:rFonts w:ascii="Mendl Sans Dusk Medium" w:hAnsi="Mendl Sans Dusk Medium"/>
          <w:b w:val="0"/>
          <w:color w:val="1E392C"/>
          <w:sz w:val="23"/>
        </w:rPr>
        <w:t>20.1 Prequalification</w:t>
      </w:r>
    </w:p>
    <w:p>
      <w:r>
        <w:rPr>
          <w:rFonts w:ascii="Mendl Sans Dusk Regular" w:hAnsi="Mendl Sans Dusk Regular"/>
          <w:b w:val="0"/>
          <w:color w:val="202723"/>
          <w:sz w:val="21"/>
        </w:rPr>
        <w:t>Prequalification is risk-based and considers trade experience, financial capacity, safety performance, insurance, licensing, workforce, equipment, references, litigation/claims and current workload. Approval does not guarantee award and must be refreshed periodically.</w:t>
      </w:r>
    </w:p>
    <w:p>
      <w:pPr>
        <w:pStyle w:val="Heading3"/>
      </w:pPr>
      <w:r>
        <w:rPr>
          <w:rFonts w:ascii="Mendl Sans Dusk Medium" w:hAnsi="Mendl Sans Dusk Medium"/>
          <w:b w:val="0"/>
          <w:color w:val="1E392C"/>
          <w:sz w:val="23"/>
        </w:rPr>
        <w:t>20.2 Scope and buyout</w:t>
      </w:r>
    </w:p>
    <w:p>
      <w:r>
        <w:rPr>
          <w:rFonts w:ascii="Mendl Sans Dusk Regular" w:hAnsi="Mendl Sans Dusk Regular"/>
          <w:b w:val="0"/>
          <w:color w:val="202723"/>
          <w:sz w:val="21"/>
        </w:rPr>
        <w:t>Subcontract scope shall reconcile estimate assumptions, drawings, specifications, alternates, schedule, logistics, safety, quality, closeout and commercial terms. Scope gaps and overlaps must be resolved before execution.</w:t>
      </w:r>
    </w:p>
    <w:p>
      <w:pPr>
        <w:pStyle w:val="Heading3"/>
      </w:pPr>
      <w:r>
        <w:rPr>
          <w:rFonts w:ascii="Mendl Sans Dusk Medium" w:hAnsi="Mendl Sans Dusk Medium"/>
          <w:b w:val="0"/>
          <w:color w:val="1E392C"/>
          <w:sz w:val="23"/>
        </w:rPr>
        <w:t>20.3 Performance control</w:t>
      </w:r>
    </w:p>
    <w:p>
      <w:r>
        <w:rPr>
          <w:rFonts w:ascii="Mendl Sans Dusk Regular" w:hAnsi="Mendl Sans Dusk Regular"/>
          <w:b w:val="0"/>
          <w:color w:val="202723"/>
          <w:sz w:val="21"/>
        </w:rPr>
        <w:t>Subcontractors are evaluated on safety, quality, manpower, schedule, coordination, documentation, change conduct and closeout. Material deficiencies require written corrective action and escalation under the subcontract.</w:t>
      </w:r>
    </w:p>
    <w:p>
      <w:pPr>
        <w:pStyle w:val="Heading3"/>
      </w:pPr>
      <w:r>
        <w:rPr>
          <w:rFonts w:ascii="Mendl Sans Dusk Medium" w:hAnsi="Mendl Sans Dusk Medium"/>
          <w:b w:val="0"/>
          <w:color w:val="1E392C"/>
          <w:sz w:val="23"/>
        </w:rPr>
        <w:t>20.4 Payment and releases</w:t>
      </w:r>
    </w:p>
    <w:p>
      <w:r>
        <w:rPr>
          <w:rFonts w:ascii="Mendl Sans Dusk Regular" w:hAnsi="Mendl Sans Dusk Regular"/>
          <w:b w:val="0"/>
          <w:color w:val="202723"/>
          <w:sz w:val="21"/>
        </w:rPr>
        <w:t>Payment requires verified progress, approved schedule of values, compliant invoice/pay application, required releases, insurance and other contract conditions. Release forms and notice processes must be selected for the actual jurisdiction and project type.</w:t>
      </w:r>
    </w:p>
    <w:p>
      <w:pPr>
        <w:pStyle w:val="Heading1"/>
      </w:pPr>
      <w:r>
        <w:rPr>
          <w:rFonts w:ascii="Mendl Sans Dusk Bold" w:hAnsi="Mendl Sans Dusk Bold"/>
          <w:b/>
          <w:color w:val="386851"/>
          <w:sz w:val="32"/>
        </w:rPr>
        <w:t>Part V - Quality, safety and environmental stewardship</w:t>
      </w:r>
    </w:p>
    <w:p>
      <w:pPr>
        <w:pStyle w:val="Heading2"/>
      </w:pPr>
      <w:r>
        <w:rPr>
          <w:rFonts w:ascii="Mendl Sans Dusk Medium" w:hAnsi="Mendl Sans Dusk Medium"/>
          <w:b w:val="0"/>
          <w:color w:val="628F79"/>
          <w:sz w:val="26"/>
        </w:rPr>
        <w:t>21. Quality management</w:t>
      </w:r>
    </w:p>
    <w:p>
      <w:pPr>
        <w:pStyle w:val="Heading3"/>
      </w:pPr>
      <w:r>
        <w:rPr>
          <w:rFonts w:ascii="Mendl Sans Dusk Medium" w:hAnsi="Mendl Sans Dusk Medium"/>
          <w:b w:val="0"/>
          <w:color w:val="1E392C"/>
          <w:sz w:val="23"/>
        </w:rPr>
        <w:t>21.1 Quality planning</w:t>
      </w:r>
    </w:p>
    <w:p>
      <w:r>
        <w:rPr>
          <w:rFonts w:ascii="Mendl Sans Dusk Regular" w:hAnsi="Mendl Sans Dusk Regular"/>
          <w:b w:val="0"/>
          <w:color w:val="202723"/>
          <w:sz w:val="21"/>
        </w:rPr>
        <w:t>Every project shall have a quality plan proportionate to scope and risk. It identifies:</w:t>
      </w:r>
    </w:p>
    <w:p>
      <w:pPr>
        <w:pStyle w:val="ListBullet"/>
        <w:spacing w:after="80" w:line="276" w:lineRule="auto"/>
        <w:ind w:left="461" w:hanging="259"/>
      </w:pPr>
      <w:r>
        <w:rPr>
          <w:rFonts w:ascii="Mendl Sans Dusk Regular" w:hAnsi="Mendl Sans Dusk Regular"/>
          <w:b w:val="0"/>
          <w:color w:val="202723"/>
          <w:sz w:val="21"/>
        </w:rPr>
        <w:t>critical features and acceptance criteria;</w:t>
      </w:r>
    </w:p>
    <w:p>
      <w:pPr>
        <w:pStyle w:val="ListBullet"/>
        <w:spacing w:after="80" w:line="276" w:lineRule="auto"/>
        <w:ind w:left="461" w:hanging="259"/>
      </w:pPr>
      <w:r>
        <w:rPr>
          <w:rFonts w:ascii="Mendl Sans Dusk Regular" w:hAnsi="Mendl Sans Dusk Regular"/>
          <w:b w:val="0"/>
          <w:color w:val="202723"/>
          <w:sz w:val="21"/>
        </w:rPr>
        <w:t>responsible inspectors and required qualifications;</w:t>
      </w:r>
    </w:p>
    <w:p>
      <w:pPr>
        <w:pStyle w:val="ListBullet"/>
        <w:spacing w:after="80" w:line="276" w:lineRule="auto"/>
        <w:ind w:left="461" w:hanging="259"/>
      </w:pPr>
      <w:r>
        <w:rPr>
          <w:rFonts w:ascii="Mendl Sans Dusk Regular" w:hAnsi="Mendl Sans Dusk Regular"/>
          <w:b w:val="0"/>
          <w:color w:val="202723"/>
          <w:sz w:val="21"/>
        </w:rPr>
        <w:t>submittal and mockup requirements;</w:t>
      </w:r>
    </w:p>
    <w:p>
      <w:pPr>
        <w:pStyle w:val="ListBullet"/>
        <w:spacing w:after="80" w:line="276" w:lineRule="auto"/>
        <w:ind w:left="461" w:hanging="259"/>
      </w:pPr>
      <w:r>
        <w:rPr>
          <w:rFonts w:ascii="Mendl Sans Dusk Regular" w:hAnsi="Mendl Sans Dusk Regular"/>
          <w:b w:val="0"/>
          <w:color w:val="202723"/>
          <w:sz w:val="21"/>
        </w:rPr>
        <w:t>preparatory meetings and first-work inspections;</w:t>
      </w:r>
    </w:p>
    <w:p>
      <w:pPr>
        <w:pStyle w:val="ListBullet"/>
        <w:spacing w:after="80" w:line="276" w:lineRule="auto"/>
        <w:ind w:left="461" w:hanging="259"/>
      </w:pPr>
      <w:r>
        <w:rPr>
          <w:rFonts w:ascii="Mendl Sans Dusk Regular" w:hAnsi="Mendl Sans Dusk Regular"/>
          <w:b w:val="0"/>
          <w:color w:val="202723"/>
          <w:sz w:val="21"/>
        </w:rPr>
        <w:t>hold and witness points;</w:t>
      </w:r>
    </w:p>
    <w:p>
      <w:pPr>
        <w:pStyle w:val="ListBullet"/>
        <w:spacing w:after="80" w:line="276" w:lineRule="auto"/>
        <w:ind w:left="461" w:hanging="259"/>
      </w:pPr>
      <w:r>
        <w:rPr>
          <w:rFonts w:ascii="Mendl Sans Dusk Regular" w:hAnsi="Mendl Sans Dusk Regular"/>
          <w:b w:val="0"/>
          <w:color w:val="202723"/>
          <w:sz w:val="21"/>
        </w:rPr>
        <w:t>testing agencies and reports;</w:t>
      </w:r>
    </w:p>
    <w:p>
      <w:pPr>
        <w:pStyle w:val="ListBullet"/>
        <w:spacing w:after="80" w:line="276" w:lineRule="auto"/>
        <w:ind w:left="461" w:hanging="259"/>
      </w:pPr>
      <w:r>
        <w:rPr>
          <w:rFonts w:ascii="Mendl Sans Dusk Regular" w:hAnsi="Mendl Sans Dusk Regular"/>
          <w:b w:val="0"/>
          <w:color w:val="202723"/>
          <w:sz w:val="21"/>
        </w:rPr>
        <w:t>concealed-work and photo documentation;</w:t>
      </w:r>
    </w:p>
    <w:p>
      <w:pPr>
        <w:pStyle w:val="ListBullet"/>
        <w:spacing w:after="80" w:line="276" w:lineRule="auto"/>
        <w:ind w:left="461" w:hanging="259"/>
      </w:pPr>
      <w:r>
        <w:rPr>
          <w:rFonts w:ascii="Mendl Sans Dusk Regular" w:hAnsi="Mendl Sans Dusk Regular"/>
          <w:b w:val="0"/>
          <w:color w:val="202723"/>
          <w:sz w:val="21"/>
        </w:rPr>
        <w:t>deficiency, NCR and corrective-action processes;</w:t>
      </w:r>
    </w:p>
    <w:p>
      <w:pPr>
        <w:pStyle w:val="ListBullet"/>
        <w:spacing w:after="80" w:line="276" w:lineRule="auto"/>
        <w:ind w:left="461" w:hanging="259"/>
      </w:pPr>
      <w:r>
        <w:rPr>
          <w:rFonts w:ascii="Mendl Sans Dusk Regular" w:hAnsi="Mendl Sans Dusk Regular"/>
          <w:b w:val="0"/>
          <w:color w:val="202723"/>
          <w:sz w:val="21"/>
        </w:rPr>
        <w:t>commissioning and turnover evidence.</w:t>
      </w:r>
    </w:p>
    <w:p>
      <w:pPr>
        <w:pStyle w:val="Heading3"/>
      </w:pPr>
      <w:r>
        <w:rPr>
          <w:rFonts w:ascii="Mendl Sans Dusk Medium" w:hAnsi="Mendl Sans Dusk Medium"/>
          <w:b w:val="0"/>
          <w:color w:val="1E392C"/>
          <w:sz w:val="23"/>
        </w:rPr>
        <w:t>21.2 Three-phase control</w:t>
      </w:r>
    </w:p>
    <w:p>
      <w:r>
        <w:rPr>
          <w:rFonts w:ascii="Mendl Sans Dusk Regular" w:hAnsi="Mendl Sans Dusk Regular"/>
          <w:b w:val="0"/>
          <w:color w:val="202723"/>
          <w:sz w:val="21"/>
        </w:rPr>
        <w:t>For critical work, the team uses:</w:t>
      </w:r>
    </w:p>
    <w:p>
      <w:pPr>
        <w:pStyle w:val="ListNumber"/>
        <w:spacing w:after="80" w:line="276" w:lineRule="auto"/>
        <w:ind w:left="461" w:hanging="259"/>
      </w:pPr>
      <w:r>
        <w:rPr>
          <w:rFonts w:ascii="Mendl Sans Dusk Bold" w:hAnsi="Mendl Sans Dusk Bold"/>
          <w:b/>
          <w:color w:val="202723"/>
          <w:sz w:val="21"/>
        </w:rPr>
        <w:t>Preparatory phase:</w:t>
      </w:r>
      <w:r>
        <w:rPr>
          <w:rFonts w:ascii="Mendl Sans Dusk Regular" w:hAnsi="Mendl Sans Dusk Regular"/>
          <w:b w:val="0"/>
          <w:color w:val="202723"/>
          <w:sz w:val="21"/>
        </w:rPr>
        <w:t xml:space="preserve"> verify documents, submittals, materials, qualifications, conditions and risks before work.</w:t>
      </w:r>
    </w:p>
    <w:p>
      <w:pPr>
        <w:pStyle w:val="ListNumber"/>
        <w:spacing w:after="80" w:line="276" w:lineRule="auto"/>
        <w:ind w:left="461" w:hanging="259"/>
      </w:pPr>
      <w:r>
        <w:rPr>
          <w:rFonts w:ascii="Mendl Sans Dusk Bold" w:hAnsi="Mendl Sans Dusk Bold"/>
          <w:b/>
          <w:color w:val="202723"/>
          <w:sz w:val="21"/>
        </w:rPr>
        <w:t>Initial phase:</w:t>
      </w:r>
      <w:r>
        <w:rPr>
          <w:rFonts w:ascii="Mendl Sans Dusk Regular" w:hAnsi="Mendl Sans Dusk Regular"/>
          <w:b w:val="0"/>
          <w:color w:val="202723"/>
          <w:sz w:val="21"/>
        </w:rPr>
        <w:t xml:space="preserve"> inspect the first completed installation and confirm the standard with the crew.</w:t>
      </w:r>
    </w:p>
    <w:p>
      <w:pPr>
        <w:pStyle w:val="ListNumber"/>
        <w:spacing w:after="80" w:line="276" w:lineRule="auto"/>
        <w:ind w:left="461" w:hanging="259"/>
      </w:pPr>
      <w:r>
        <w:rPr>
          <w:rFonts w:ascii="Mendl Sans Dusk Bold" w:hAnsi="Mendl Sans Dusk Bold"/>
          <w:b/>
          <w:color w:val="202723"/>
          <w:sz w:val="21"/>
        </w:rPr>
        <w:t>Follow-up phase:</w:t>
      </w:r>
      <w:r>
        <w:rPr>
          <w:rFonts w:ascii="Mendl Sans Dusk Regular" w:hAnsi="Mendl Sans Dusk Regular"/>
          <w:b w:val="0"/>
          <w:color w:val="202723"/>
          <w:sz w:val="21"/>
        </w:rPr>
        <w:t xml:space="preserve"> verify continuing work and correct drift promptly.</w:t>
      </w:r>
    </w:p>
    <w:p>
      <w:pPr>
        <w:pStyle w:val="Heading3"/>
      </w:pPr>
      <w:r>
        <w:rPr>
          <w:rFonts w:ascii="Mendl Sans Dusk Medium" w:hAnsi="Mendl Sans Dusk Medium"/>
          <w:b w:val="0"/>
          <w:color w:val="1E392C"/>
          <w:sz w:val="23"/>
        </w:rPr>
        <w:t>21.3 Nonconformance and corrective action</w:t>
      </w:r>
    </w:p>
    <w:p>
      <w:r>
        <w:rPr>
          <w:rFonts w:ascii="Mendl Sans Dusk Regular" w:hAnsi="Mendl Sans Dusk Regular"/>
          <w:b w:val="0"/>
          <w:color w:val="202723"/>
          <w:sz w:val="21"/>
        </w:rPr>
        <w:t>Work that does not meet approved requirements shall be identified and controlled to prevent concealment or unintended acceptance. Disposition options are rework, repair with authorized acceptance, use-as-is with authorized acceptance, or rejection.</w:t>
      </w:r>
    </w:p>
    <w:p>
      <w:r>
        <w:rPr>
          <w:rFonts w:ascii="Mendl Sans Dusk Regular" w:hAnsi="Mendl Sans Dusk Regular"/>
          <w:b w:val="0"/>
          <w:color w:val="202723"/>
          <w:sz w:val="21"/>
        </w:rPr>
        <w:t>Corrective action addresses the cause, not only the symptom. Closure requires evidence that the action was implemented and effective.</w:t>
      </w:r>
    </w:p>
    <w:p>
      <w:pPr>
        <w:pStyle w:val="Heading2"/>
      </w:pPr>
      <w:r>
        <w:rPr>
          <w:rFonts w:ascii="Mendl Sans Dusk Medium" w:hAnsi="Mendl Sans Dusk Medium"/>
          <w:b w:val="0"/>
          <w:color w:val="628F79"/>
          <w:sz w:val="26"/>
        </w:rPr>
        <w:t>22. Safety and health management</w:t>
      </w:r>
    </w:p>
    <w:p>
      <w:pPr>
        <w:pStyle w:val="Heading3"/>
      </w:pPr>
      <w:r>
        <w:rPr>
          <w:rFonts w:ascii="Mendl Sans Dusk Medium" w:hAnsi="Mendl Sans Dusk Medium"/>
          <w:b w:val="0"/>
          <w:color w:val="1E392C"/>
          <w:sz w:val="23"/>
        </w:rPr>
        <w:t>22.1 Governing model</w:t>
      </w:r>
    </w:p>
    <w:p>
      <w:r>
        <w:rPr>
          <w:rFonts w:ascii="Mendl Sans Dusk Regular" w:hAnsi="Mendl Sans Dusk Regular"/>
          <w:b w:val="0"/>
          <w:color w:val="202723"/>
          <w:sz w:val="21"/>
        </w:rPr>
        <w:t>The MISH program is the functional safety manual. It shall use a federal baseline with jurisdiction addenda for Washington, Oregon, Idaho and any new state. Project-specific safety plans select the applicable rules, contract requirements and site hazards.</w:t>
      </w:r>
    </w:p>
    <w:p>
      <w:r>
        <w:rPr>
          <w:rFonts w:ascii="Mendl Sans Dusk Regular" w:hAnsi="Mendl Sans Dusk Regular"/>
          <w:b w:val="0"/>
          <w:color w:val="202723"/>
          <w:sz w:val="21"/>
        </w:rPr>
        <w:t>Nothing in a TBT or quick-reference card overrides a law, approved program, engineered plan, manufacturer instruction or competent/qualified-person determination.</w:t>
      </w:r>
    </w:p>
    <w:p>
      <w:pPr>
        <w:pStyle w:val="Heading3"/>
      </w:pPr>
      <w:r>
        <w:rPr>
          <w:rFonts w:ascii="Mendl Sans Dusk Medium" w:hAnsi="Mendl Sans Dusk Medium"/>
          <w:b w:val="0"/>
          <w:color w:val="1E392C"/>
          <w:sz w:val="23"/>
        </w:rPr>
        <w:t>22.2 Core expectations</w:t>
      </w:r>
    </w:p>
    <w:p>
      <w:pPr>
        <w:pStyle w:val="ListBullet"/>
        <w:spacing w:after="80" w:line="276" w:lineRule="auto"/>
        <w:ind w:left="461" w:hanging="259"/>
      </w:pPr>
      <w:r>
        <w:rPr>
          <w:rFonts w:ascii="Mendl Sans Dusk Regular" w:hAnsi="Mendl Sans Dusk Regular"/>
          <w:b w:val="0"/>
          <w:color w:val="202723"/>
          <w:sz w:val="21"/>
        </w:rPr>
        <w:t>Plan work before exposure begins.</w:t>
      </w:r>
    </w:p>
    <w:p>
      <w:pPr>
        <w:pStyle w:val="ListBullet"/>
        <w:spacing w:after="80" w:line="276" w:lineRule="auto"/>
        <w:ind w:left="461" w:hanging="259"/>
      </w:pPr>
      <w:r>
        <w:rPr>
          <w:rFonts w:ascii="Mendl Sans Dusk Regular" w:hAnsi="Mendl Sans Dusk Regular"/>
          <w:b w:val="0"/>
          <w:color w:val="202723"/>
          <w:sz w:val="21"/>
        </w:rPr>
        <w:t>Identify hazards and use the hierarchy of controls.</w:t>
      </w:r>
    </w:p>
    <w:p>
      <w:pPr>
        <w:pStyle w:val="ListBullet"/>
        <w:spacing w:after="80" w:line="276" w:lineRule="auto"/>
        <w:ind w:left="461" w:hanging="259"/>
      </w:pPr>
      <w:r>
        <w:rPr>
          <w:rFonts w:ascii="Mendl Sans Dusk Regular" w:hAnsi="Mendl Sans Dusk Regular"/>
          <w:b w:val="0"/>
          <w:color w:val="202723"/>
          <w:sz w:val="21"/>
        </w:rPr>
        <w:t>Provide required training, tools, supervision and PPE.</w:t>
      </w:r>
    </w:p>
    <w:p>
      <w:pPr>
        <w:pStyle w:val="ListBullet"/>
        <w:spacing w:after="80" w:line="276" w:lineRule="auto"/>
        <w:ind w:left="461" w:hanging="259"/>
      </w:pPr>
      <w:r>
        <w:rPr>
          <w:rFonts w:ascii="Mendl Sans Dusk Regular" w:hAnsi="Mendl Sans Dusk Regular"/>
          <w:b w:val="0"/>
          <w:color w:val="202723"/>
          <w:sz w:val="21"/>
        </w:rPr>
        <w:t>Maintain good-faith stop-work and reporting authority.</w:t>
      </w:r>
    </w:p>
    <w:p>
      <w:pPr>
        <w:pStyle w:val="ListBullet"/>
        <w:spacing w:after="80" w:line="276" w:lineRule="auto"/>
        <w:ind w:left="461" w:hanging="259"/>
      </w:pPr>
      <w:r>
        <w:rPr>
          <w:rFonts w:ascii="Mendl Sans Dusk Regular" w:hAnsi="Mendl Sans Dusk Regular"/>
          <w:b w:val="0"/>
          <w:color w:val="202723"/>
          <w:sz w:val="21"/>
        </w:rPr>
        <w:t>Investigate incidents and near misses for system causes.</w:t>
      </w:r>
    </w:p>
    <w:p>
      <w:pPr>
        <w:pStyle w:val="ListBullet"/>
        <w:spacing w:after="80" w:line="276" w:lineRule="auto"/>
        <w:ind w:left="461" w:hanging="259"/>
      </w:pPr>
      <w:r>
        <w:rPr>
          <w:rFonts w:ascii="Mendl Sans Dusk Regular" w:hAnsi="Mendl Sans Dusk Regular"/>
          <w:b w:val="0"/>
          <w:color w:val="202723"/>
          <w:sz w:val="21"/>
        </w:rPr>
        <w:t>Correct hazards promptly and verify closure.</w:t>
      </w:r>
    </w:p>
    <w:p>
      <w:pPr>
        <w:pStyle w:val="ListBullet"/>
        <w:spacing w:after="80" w:line="276" w:lineRule="auto"/>
        <w:ind w:left="461" w:hanging="259"/>
      </w:pPr>
      <w:r>
        <w:rPr>
          <w:rFonts w:ascii="Mendl Sans Dusk Regular" w:hAnsi="Mendl Sans Dusk Regular"/>
          <w:b w:val="0"/>
          <w:color w:val="202723"/>
          <w:sz w:val="21"/>
        </w:rPr>
        <w:t>Maintain required records and regulatory reporting.</w:t>
      </w:r>
    </w:p>
    <w:p>
      <w:pPr>
        <w:pStyle w:val="ListBullet"/>
        <w:spacing w:after="80" w:line="276" w:lineRule="auto"/>
        <w:ind w:left="461" w:hanging="259"/>
      </w:pPr>
      <w:r>
        <w:rPr>
          <w:rFonts w:ascii="Mendl Sans Dusk Regular" w:hAnsi="Mendl Sans Dusk Regular"/>
          <w:b w:val="0"/>
          <w:color w:val="202723"/>
          <w:sz w:val="21"/>
        </w:rPr>
        <w:t>Coordinate multi-employer work and subcontractors.</w:t>
      </w:r>
    </w:p>
    <w:p>
      <w:pPr>
        <w:pStyle w:val="Heading3"/>
      </w:pPr>
      <w:r>
        <w:rPr>
          <w:rFonts w:ascii="Mendl Sans Dusk Medium" w:hAnsi="Mendl Sans Dusk Medium"/>
          <w:b w:val="0"/>
          <w:color w:val="1E392C"/>
          <w:sz w:val="23"/>
        </w:rPr>
        <w:t>22.3 Project safety startup</w:t>
      </w:r>
    </w:p>
    <w:p>
      <w:r>
        <w:rPr>
          <w:rFonts w:ascii="Mendl Sans Dusk Regular" w:hAnsi="Mendl Sans Dusk Regular"/>
          <w:b w:val="0"/>
          <w:color w:val="202723"/>
          <w:sz w:val="21"/>
        </w:rPr>
        <w:t>Before mobilization, the project shall establish the applicable APP/SSSP, emergency plan, competent/qualified-person designations, training matrix, chemical/SDS inventory process, inspection schedule, permit requirements, medical/first-aid arrangements and site orientation.</w:t>
      </w:r>
    </w:p>
    <w:p>
      <w:pPr>
        <w:pStyle w:val="Heading3"/>
      </w:pPr>
      <w:r>
        <w:rPr>
          <w:rFonts w:ascii="Mendl Sans Dusk Medium" w:hAnsi="Mendl Sans Dusk Medium"/>
          <w:b w:val="0"/>
          <w:color w:val="1E392C"/>
          <w:sz w:val="23"/>
        </w:rPr>
        <w:t>22.4 High-risk work</w:t>
      </w:r>
    </w:p>
    <w:p>
      <w:r>
        <w:rPr>
          <w:rFonts w:ascii="Mendl Sans Dusk Regular" w:hAnsi="Mendl Sans Dusk Regular"/>
          <w:b w:val="0"/>
          <w:color w:val="202723"/>
          <w:sz w:val="21"/>
        </w:rPr>
        <w:t>High-risk work includes, as applicable, falls, excavation, confined spaces, cranes and rigging, electrical/LOTO, hot work, silica, respiratory protection, demolition, traffic exposure, energized systems and hazardous materials. Work begins only when the applicable plan, permit, qualifications, equipment and rescue/emergency arrangements are confirmed.</w:t>
      </w:r>
    </w:p>
    <w:p>
      <w:pPr>
        <w:pStyle w:val="Heading3"/>
      </w:pPr>
      <w:r>
        <w:rPr>
          <w:rFonts w:ascii="Mendl Sans Dusk Medium" w:hAnsi="Mendl Sans Dusk Medium"/>
          <w:b w:val="0"/>
          <w:color w:val="1E392C"/>
          <w:sz w:val="23"/>
        </w:rPr>
        <w:t>22.5 Incident and near-miss management</w:t>
      </w:r>
    </w:p>
    <w:p>
      <w:r>
        <w:rPr>
          <w:rFonts w:ascii="Mendl Sans Dusk Regular" w:hAnsi="Mendl Sans Dusk Regular"/>
          <w:b w:val="0"/>
          <w:color w:val="202723"/>
          <w:sz w:val="21"/>
        </w:rPr>
        <w:t>Immediate priorities are medical care, emergency response, scene safety and required notification. Evidence shall be preserved when safe. Investigations identify direct, contributing and organizational causes. Corrective actions have owners, due dates, verification and effectiveness review.</w:t>
      </w:r>
    </w:p>
    <w:p>
      <w:r>
        <w:rPr>
          <w:rFonts w:ascii="Mendl Sans Dusk Regular" w:hAnsi="Mendl Sans Dusk Regular"/>
          <w:b w:val="0"/>
          <w:color w:val="202723"/>
          <w:sz w:val="21"/>
        </w:rPr>
        <w:t>Regulatory reporting is performed by authorized personnel using current jurisdiction-specific requirements.</w:t>
      </w:r>
    </w:p>
    <w:p>
      <w:pPr>
        <w:pStyle w:val="Heading2"/>
      </w:pPr>
      <w:r>
        <w:rPr>
          <w:rFonts w:ascii="Mendl Sans Dusk Medium" w:hAnsi="Mendl Sans Dusk Medium"/>
          <w:b w:val="0"/>
          <w:color w:val="628F79"/>
          <w:sz w:val="26"/>
        </w:rPr>
        <w:t>23. Toolbox-talk management</w:t>
      </w:r>
    </w:p>
    <w:p>
      <w:r>
        <w:rPr>
          <w:rFonts w:ascii="Mendl Sans Dusk Regular" w:hAnsi="Mendl Sans Dusk Regular"/>
          <w:b w:val="0"/>
          <w:color w:val="202723"/>
          <w:sz w:val="21"/>
        </w:rPr>
        <w:t>Toolbox talks reinforce approved controls and invite crew participation. They are not a substitute for required training or task-specific planning.</w:t>
      </w:r>
    </w:p>
    <w:p>
      <w:r>
        <w:rPr>
          <w:rFonts w:ascii="Mendl Sans Dusk Regular" w:hAnsi="Mendl Sans Dusk Regular"/>
          <w:b w:val="0"/>
          <w:color w:val="202723"/>
          <w:sz w:val="21"/>
        </w:rPr>
        <w:t>Each controlled talk includes:</w:t>
      </w:r>
    </w:p>
    <w:p>
      <w:pPr>
        <w:pStyle w:val="ListBullet"/>
        <w:spacing w:after="80" w:line="276" w:lineRule="auto"/>
        <w:ind w:left="461" w:hanging="259"/>
      </w:pPr>
      <w:r>
        <w:rPr>
          <w:rFonts w:ascii="Mendl Sans Dusk Regular" w:hAnsi="Mendl Sans Dusk Regular"/>
          <w:b w:val="0"/>
          <w:color w:val="202723"/>
          <w:sz w:val="21"/>
        </w:rPr>
        <w:t>stable topic ID, title, revision and owner;</w:t>
      </w:r>
    </w:p>
    <w:p>
      <w:pPr>
        <w:pStyle w:val="ListBullet"/>
        <w:spacing w:after="80" w:line="276" w:lineRule="auto"/>
        <w:ind w:left="461" w:hanging="259"/>
      </w:pPr>
      <w:r>
        <w:rPr>
          <w:rFonts w:ascii="Mendl Sans Dusk Regular" w:hAnsi="Mendl Sans Dusk Regular"/>
          <w:b w:val="0"/>
          <w:color w:val="202723"/>
          <w:sz w:val="21"/>
        </w:rPr>
        <w:t>audience, prerequisites and estimated duration;</w:t>
      </w:r>
    </w:p>
    <w:p>
      <w:pPr>
        <w:pStyle w:val="ListBullet"/>
        <w:spacing w:after="80" w:line="276" w:lineRule="auto"/>
        <w:ind w:left="461" w:hanging="259"/>
      </w:pPr>
      <w:r>
        <w:rPr>
          <w:rFonts w:ascii="Mendl Sans Dusk Regular" w:hAnsi="Mendl Sans Dusk Regular"/>
          <w:b w:val="0"/>
          <w:color w:val="202723"/>
          <w:sz w:val="21"/>
        </w:rPr>
        <w:t>governing program and official references;</w:t>
      </w:r>
    </w:p>
    <w:p>
      <w:pPr>
        <w:pStyle w:val="ListBullet"/>
        <w:spacing w:after="80" w:line="276" w:lineRule="auto"/>
        <w:ind w:left="461" w:hanging="259"/>
      </w:pPr>
      <w:r>
        <w:rPr>
          <w:rFonts w:ascii="Mendl Sans Dusk Regular" w:hAnsi="Mendl Sans Dusk Regular"/>
          <w:b w:val="0"/>
          <w:color w:val="202723"/>
          <w:sz w:val="21"/>
        </w:rPr>
        <w:t>learning objectives;</w:t>
      </w:r>
    </w:p>
    <w:p>
      <w:pPr>
        <w:pStyle w:val="ListBullet"/>
        <w:spacing w:after="80" w:line="276" w:lineRule="auto"/>
        <w:ind w:left="461" w:hanging="259"/>
      </w:pPr>
      <w:r>
        <w:rPr>
          <w:rFonts w:ascii="Mendl Sans Dusk Regular" w:hAnsi="Mendl Sans Dusk Regular"/>
          <w:b w:val="0"/>
          <w:color w:val="202723"/>
          <w:sz w:val="21"/>
        </w:rPr>
        <w:t>key hazards and controls;</w:t>
      </w:r>
    </w:p>
    <w:p>
      <w:pPr>
        <w:pStyle w:val="ListBullet"/>
        <w:spacing w:after="80" w:line="276" w:lineRule="auto"/>
        <w:ind w:left="461" w:hanging="259"/>
      </w:pPr>
      <w:r>
        <w:rPr>
          <w:rFonts w:ascii="Mendl Sans Dusk Regular" w:hAnsi="Mendl Sans Dusk Regular"/>
          <w:b w:val="0"/>
          <w:color w:val="202723"/>
          <w:sz w:val="21"/>
        </w:rPr>
        <w:t>site-specific discussion prompts;</w:t>
      </w:r>
    </w:p>
    <w:p>
      <w:pPr>
        <w:pStyle w:val="ListBullet"/>
        <w:spacing w:after="80" w:line="276" w:lineRule="auto"/>
        <w:ind w:left="461" w:hanging="259"/>
      </w:pPr>
      <w:r>
        <w:rPr>
          <w:rFonts w:ascii="Mendl Sans Dusk Regular" w:hAnsi="Mendl Sans Dusk Regular"/>
          <w:b w:val="0"/>
          <w:color w:val="202723"/>
          <w:sz w:val="21"/>
        </w:rPr>
        <w:t>comprehension questions;</w:t>
      </w:r>
    </w:p>
    <w:p>
      <w:pPr>
        <w:pStyle w:val="ListBullet"/>
        <w:spacing w:after="80" w:line="276" w:lineRule="auto"/>
        <w:ind w:left="461" w:hanging="259"/>
      </w:pPr>
      <w:r>
        <w:rPr>
          <w:rFonts w:ascii="Mendl Sans Dusk Regular" w:hAnsi="Mendl Sans Dusk Regular"/>
          <w:b w:val="0"/>
          <w:color w:val="202723"/>
          <w:sz w:val="21"/>
        </w:rPr>
        <w:t>required forms/permits;</w:t>
      </w:r>
    </w:p>
    <w:p>
      <w:pPr>
        <w:pStyle w:val="ListBullet"/>
        <w:spacing w:after="80" w:line="276" w:lineRule="auto"/>
        <w:ind w:left="461" w:hanging="259"/>
      </w:pPr>
      <w:r>
        <w:rPr>
          <w:rFonts w:ascii="Mendl Sans Dusk Regular" w:hAnsi="Mendl Sans Dusk Regular"/>
          <w:b w:val="0"/>
          <w:color w:val="202723"/>
          <w:sz w:val="21"/>
        </w:rPr>
        <w:t>technical review and approval;</w:t>
      </w:r>
    </w:p>
    <w:p>
      <w:pPr>
        <w:pStyle w:val="ListBullet"/>
        <w:spacing w:after="80" w:line="276" w:lineRule="auto"/>
        <w:ind w:left="461" w:hanging="259"/>
      </w:pPr>
      <w:r>
        <w:rPr>
          <w:rFonts w:ascii="Mendl Sans Dusk Regular" w:hAnsi="Mendl Sans Dusk Regular"/>
          <w:b w:val="0"/>
          <w:color w:val="202723"/>
          <w:sz w:val="21"/>
        </w:rPr>
        <w:t>attendance record and retention.</w:t>
      </w:r>
    </w:p>
    <w:p>
      <w:r>
        <w:rPr>
          <w:rFonts w:ascii="Mendl Sans Dusk Regular" w:hAnsi="Mendl Sans Dusk Regular"/>
          <w:b w:val="0"/>
          <w:color w:val="202723"/>
          <w:sz w:val="21"/>
        </w:rPr>
        <w:t>Complex talks may have a short crew sheet and a longer facilitator annex. Translations must be controlled and reviewed for meaning, not only literal language.</w:t>
      </w:r>
    </w:p>
    <w:p>
      <w:pPr>
        <w:pStyle w:val="Heading2"/>
      </w:pPr>
      <w:r>
        <w:rPr>
          <w:rFonts w:ascii="Mendl Sans Dusk Medium" w:hAnsi="Mendl Sans Dusk Medium"/>
          <w:b w:val="0"/>
          <w:color w:val="628F79"/>
          <w:sz w:val="26"/>
        </w:rPr>
        <w:t>24. Hazard communication and SDS management</w:t>
      </w:r>
    </w:p>
    <w:p>
      <w:r>
        <w:rPr>
          <w:rFonts w:ascii="Mendl Sans Dusk Regular" w:hAnsi="Mendl Sans Dusk Regular"/>
          <w:b w:val="0"/>
          <w:color w:val="202723"/>
          <w:sz w:val="21"/>
        </w:rPr>
        <w:t>The Hazard Communication program shall maintain:</w:t>
      </w:r>
    </w:p>
    <w:p>
      <w:pPr>
        <w:pStyle w:val="ListBullet"/>
        <w:spacing w:after="80" w:line="276" w:lineRule="auto"/>
        <w:ind w:left="461" w:hanging="259"/>
      </w:pPr>
      <w:r>
        <w:rPr>
          <w:rFonts w:ascii="Mendl Sans Dusk Regular" w:hAnsi="Mendl Sans Dusk Regular"/>
          <w:b w:val="0"/>
          <w:color w:val="202723"/>
          <w:sz w:val="21"/>
        </w:rPr>
        <w:t>a written program for each workplace as required;</w:t>
      </w:r>
    </w:p>
    <w:p>
      <w:pPr>
        <w:pStyle w:val="ListBullet"/>
        <w:spacing w:after="80" w:line="276" w:lineRule="auto"/>
        <w:ind w:left="461" w:hanging="259"/>
      </w:pPr>
      <w:r>
        <w:rPr>
          <w:rFonts w:ascii="Mendl Sans Dusk Regular" w:hAnsi="Mendl Sans Dusk Regular"/>
          <w:b w:val="0"/>
          <w:color w:val="202723"/>
          <w:sz w:val="21"/>
        </w:rPr>
        <w:t>exact-product chemical inventories;</w:t>
      </w:r>
    </w:p>
    <w:p>
      <w:pPr>
        <w:pStyle w:val="ListBullet"/>
        <w:spacing w:after="80" w:line="276" w:lineRule="auto"/>
        <w:ind w:left="461" w:hanging="259"/>
      </w:pPr>
      <w:r>
        <w:rPr>
          <w:rFonts w:ascii="Mendl Sans Dusk Regular" w:hAnsi="Mendl Sans Dusk Regular"/>
          <w:b w:val="0"/>
          <w:color w:val="202723"/>
          <w:sz w:val="21"/>
        </w:rPr>
        <w:t>current manufacturer-specific SDSs;</w:t>
      </w:r>
    </w:p>
    <w:p>
      <w:pPr>
        <w:pStyle w:val="ListBullet"/>
        <w:spacing w:after="80" w:line="276" w:lineRule="auto"/>
        <w:ind w:left="461" w:hanging="259"/>
      </w:pPr>
      <w:r>
        <w:rPr>
          <w:rFonts w:ascii="Mendl Sans Dusk Regular" w:hAnsi="Mendl Sans Dusk Regular"/>
          <w:b w:val="0"/>
          <w:color w:val="202723"/>
          <w:sz w:val="21"/>
        </w:rPr>
        <w:t>compliant container and workplace labeling;</w:t>
      </w:r>
    </w:p>
    <w:p>
      <w:pPr>
        <w:pStyle w:val="ListBullet"/>
        <w:spacing w:after="80" w:line="276" w:lineRule="auto"/>
        <w:ind w:left="461" w:hanging="259"/>
      </w:pPr>
      <w:r>
        <w:rPr>
          <w:rFonts w:ascii="Mendl Sans Dusk Regular" w:hAnsi="Mendl Sans Dusk Regular"/>
          <w:b w:val="0"/>
          <w:color w:val="202723"/>
          <w:sz w:val="21"/>
        </w:rPr>
        <w:t>employee information and training;</w:t>
      </w:r>
    </w:p>
    <w:p>
      <w:pPr>
        <w:pStyle w:val="ListBullet"/>
        <w:spacing w:after="80" w:line="276" w:lineRule="auto"/>
        <w:ind w:left="461" w:hanging="259"/>
      </w:pPr>
      <w:r>
        <w:rPr>
          <w:rFonts w:ascii="Mendl Sans Dusk Regular" w:hAnsi="Mendl Sans Dusk Regular"/>
          <w:b w:val="0"/>
          <w:color w:val="202723"/>
          <w:sz w:val="21"/>
        </w:rPr>
        <w:t>subcontractor/multi-employer coordination;</w:t>
      </w:r>
    </w:p>
    <w:p>
      <w:pPr>
        <w:pStyle w:val="ListBullet"/>
        <w:spacing w:after="80" w:line="276" w:lineRule="auto"/>
        <w:ind w:left="461" w:hanging="259"/>
      </w:pPr>
      <w:r>
        <w:rPr>
          <w:rFonts w:ascii="Mendl Sans Dusk Regular" w:hAnsi="Mendl Sans Dusk Regular"/>
          <w:b w:val="0"/>
          <w:color w:val="202723"/>
          <w:sz w:val="21"/>
        </w:rPr>
        <w:t>immediate access during each work shift;</w:t>
      </w:r>
    </w:p>
    <w:p>
      <w:pPr>
        <w:pStyle w:val="ListBullet"/>
        <w:spacing w:after="80" w:line="276" w:lineRule="auto"/>
        <w:ind w:left="461" w:hanging="259"/>
      </w:pPr>
      <w:r>
        <w:rPr>
          <w:rFonts w:ascii="Mendl Sans Dusk Regular" w:hAnsi="Mendl Sans Dusk Regular"/>
          <w:b w:val="0"/>
          <w:color w:val="202723"/>
          <w:sz w:val="21"/>
        </w:rPr>
        <w:t>reliable offline or paper backup when electronic access could fail;</w:t>
      </w:r>
    </w:p>
    <w:p>
      <w:pPr>
        <w:pStyle w:val="ListBullet"/>
        <w:spacing w:after="80" w:line="276" w:lineRule="auto"/>
        <w:ind w:left="461" w:hanging="259"/>
      </w:pPr>
      <w:r>
        <w:rPr>
          <w:rFonts w:ascii="Mendl Sans Dusk Regular" w:hAnsi="Mendl Sans Dusk Regular"/>
          <w:b w:val="0"/>
          <w:color w:val="202723"/>
          <w:sz w:val="21"/>
        </w:rPr>
        <w:t>periodic inventory/SDS reconciliation.</w:t>
      </w:r>
    </w:p>
    <w:p>
      <w:r>
        <w:rPr>
          <w:rFonts w:ascii="Mendl Sans Dusk Regular" w:hAnsi="Mendl Sans Dusk Regular"/>
          <w:b w:val="0"/>
          <w:color w:val="202723"/>
          <w:sz w:val="21"/>
        </w:rPr>
        <w:t xml:space="preserve">MH quick-reference cards may summarize information but must display the exact product and manufacturer, source SDS revision, and the warning: </w:t>
      </w:r>
      <w:r>
        <w:rPr>
          <w:rFonts w:ascii="Mendl Sans Dusk Bold" w:hAnsi="Mendl Sans Dusk Bold"/>
          <w:b/>
          <w:color w:val="202723"/>
          <w:sz w:val="21"/>
        </w:rPr>
        <w:t>Quick reference only - does not replace the manufacturer SDS.</w:t>
      </w:r>
    </w:p>
    <w:p>
      <w:pPr>
        <w:pStyle w:val="Heading2"/>
      </w:pPr>
      <w:r>
        <w:rPr>
          <w:rFonts w:ascii="Mendl Sans Dusk Medium" w:hAnsi="Mendl Sans Dusk Medium"/>
          <w:b w:val="0"/>
          <w:color w:val="628F79"/>
          <w:sz w:val="26"/>
        </w:rPr>
        <w:t>25. Environmental management</w:t>
      </w:r>
    </w:p>
    <w:p>
      <w:r>
        <w:rPr>
          <w:rFonts w:ascii="Mendl Sans Dusk Regular" w:hAnsi="Mendl Sans Dusk Regular"/>
          <w:b w:val="0"/>
          <w:color w:val="202723"/>
          <w:sz w:val="21"/>
        </w:rPr>
        <w:t>Projects shall identify environmental permits, owner requirements and significant aspects such as stormwater, erosion, dust, noise, spills, waste, contaminated soil, refrigerants, hazardous materials and protected resources.</w:t>
      </w:r>
    </w:p>
    <w:p>
      <w:r>
        <w:rPr>
          <w:rFonts w:ascii="Mendl Sans Dusk Regular" w:hAnsi="Mendl Sans Dusk Regular"/>
          <w:b w:val="0"/>
          <w:color w:val="202723"/>
          <w:sz w:val="21"/>
        </w:rPr>
        <w:t>Environmental controls shall be included in planning, subcontract requirements, inspections and incident response. Waste manifests, disposal receipts, inspections and releases are retained in the project record.</w:t>
      </w:r>
    </w:p>
    <w:p>
      <w:pPr>
        <w:pStyle w:val="Heading1"/>
      </w:pPr>
      <w:r>
        <w:rPr>
          <w:rFonts w:ascii="Mendl Sans Dusk Bold" w:hAnsi="Mendl Sans Dusk Bold"/>
          <w:b/>
          <w:color w:val="386851"/>
          <w:sz w:val="32"/>
        </w:rPr>
        <w:t>Part VI - People and assets</w:t>
      </w:r>
    </w:p>
    <w:p>
      <w:pPr>
        <w:pStyle w:val="Heading2"/>
      </w:pPr>
      <w:r>
        <w:rPr>
          <w:rFonts w:ascii="Mendl Sans Dusk Medium" w:hAnsi="Mendl Sans Dusk Medium"/>
          <w:b w:val="0"/>
          <w:color w:val="628F79"/>
          <w:sz w:val="26"/>
        </w:rPr>
        <w:t>26. Human resources and employee lifecycle</w:t>
      </w:r>
    </w:p>
    <w:p>
      <w:r>
        <w:rPr>
          <w:rFonts w:ascii="Mendl Sans Dusk Regular" w:hAnsi="Mendl Sans Dusk Regular"/>
          <w:b w:val="0"/>
          <w:color w:val="202723"/>
          <w:sz w:val="21"/>
        </w:rPr>
        <w:t>The Employee Handbook is the controlling source for employment policies and must be reviewed for each state in which employees work. This EMS does not replace it.</w:t>
      </w:r>
    </w:p>
    <w:p>
      <w:pPr>
        <w:pStyle w:val="Heading3"/>
      </w:pPr>
      <w:r>
        <w:rPr>
          <w:rFonts w:ascii="Mendl Sans Dusk Medium" w:hAnsi="Mendl Sans Dusk Medium"/>
          <w:b w:val="0"/>
          <w:color w:val="1E392C"/>
          <w:sz w:val="23"/>
        </w:rPr>
        <w:t>26.1 Workforce planning and hiring</w:t>
      </w:r>
    </w:p>
    <w:p>
      <w:r>
        <w:rPr>
          <w:rFonts w:ascii="Mendl Sans Dusk Regular" w:hAnsi="Mendl Sans Dusk Regular"/>
          <w:b w:val="0"/>
          <w:color w:val="202723"/>
          <w:sz w:val="21"/>
        </w:rPr>
        <w:t>Positions require a current description defining duties, supervisor, authority, physical/technical requirements and required credentials. Hiring and screening shall be lawful, consistent and documented.</w:t>
      </w:r>
    </w:p>
    <w:p>
      <w:pPr>
        <w:pStyle w:val="Heading3"/>
      </w:pPr>
      <w:r>
        <w:rPr>
          <w:rFonts w:ascii="Mendl Sans Dusk Medium" w:hAnsi="Mendl Sans Dusk Medium"/>
          <w:b w:val="0"/>
          <w:color w:val="1E392C"/>
          <w:sz w:val="23"/>
        </w:rPr>
        <w:t>26.2 Onboarding</w:t>
      </w:r>
    </w:p>
    <w:p>
      <w:r>
        <w:rPr>
          <w:rFonts w:ascii="Mendl Sans Dusk Regular" w:hAnsi="Mendl Sans Dusk Regular"/>
          <w:b w:val="0"/>
          <w:color w:val="202723"/>
          <w:sz w:val="21"/>
        </w:rPr>
        <w:t>Onboarding includes employment forms, handbook acknowledgment, role expectations, safety orientation, systems access, data-security training, equipment/property issuance, required credentials and a 30/60/90-day plan.</w:t>
      </w:r>
    </w:p>
    <w:p>
      <w:r>
        <w:rPr>
          <w:rFonts w:ascii="Mendl Sans Dusk Regular" w:hAnsi="Mendl Sans Dusk Regular"/>
          <w:b w:val="0"/>
          <w:color w:val="202723"/>
          <w:sz w:val="21"/>
        </w:rPr>
        <w:t>Access and physical assets should not be issued before required approvals. Safety-critical work cannot be assigned until the worker is trained, authorized and, where applicable, medically cleared and fit-tested.</w:t>
      </w:r>
    </w:p>
    <w:p>
      <w:pPr>
        <w:pStyle w:val="Heading3"/>
      </w:pPr>
      <w:r>
        <w:rPr>
          <w:rFonts w:ascii="Mendl Sans Dusk Medium" w:hAnsi="Mendl Sans Dusk Medium"/>
          <w:b w:val="0"/>
          <w:color w:val="1E392C"/>
          <w:sz w:val="23"/>
        </w:rPr>
        <w:t>26.3 Training and competency</w:t>
      </w:r>
    </w:p>
    <w:p>
      <w:r>
        <w:rPr>
          <w:rFonts w:ascii="Mendl Sans Dusk Regular" w:hAnsi="Mendl Sans Dusk Regular"/>
          <w:b w:val="0"/>
          <w:color w:val="202723"/>
          <w:sz w:val="21"/>
        </w:rPr>
        <w:t>The company shall maintain a role-based training matrix showing requirement, source, initial/refresh trigger, provider, completion, expiration if any, evidence and restrictions.</w:t>
      </w:r>
    </w:p>
    <w:p>
      <w:r>
        <w:rPr>
          <w:rFonts w:ascii="Mendl Sans Dusk Regular" w:hAnsi="Mendl Sans Dusk Regular"/>
          <w:b w:val="0"/>
          <w:color w:val="202723"/>
          <w:sz w:val="21"/>
        </w:rPr>
        <w:t>OSHA 10/30 Outreach cards shall be described accurately as completion cards for voluntary hazard-awareness training unless a contract or state/local rule imposes a requirement. MH may set an internal refresh standard, but it must be labeled as company policy.</w:t>
      </w:r>
    </w:p>
    <w:p>
      <w:pPr>
        <w:pStyle w:val="Heading3"/>
      </w:pPr>
      <w:r>
        <w:rPr>
          <w:rFonts w:ascii="Mendl Sans Dusk Medium" w:hAnsi="Mendl Sans Dusk Medium"/>
          <w:b w:val="0"/>
          <w:color w:val="1E392C"/>
          <w:sz w:val="23"/>
        </w:rPr>
        <w:t>26.4 Performance and development</w:t>
      </w:r>
    </w:p>
    <w:p>
      <w:r>
        <w:rPr>
          <w:rFonts w:ascii="Mendl Sans Dusk Regular" w:hAnsi="Mendl Sans Dusk Regular"/>
          <w:b w:val="0"/>
          <w:color w:val="202723"/>
          <w:sz w:val="21"/>
        </w:rPr>
        <w:t>Performance expectations connect to role results, safety, quality, values, leadership and development. Reviews include evidence, two-way feedback, goals, training and follow-up. Discipline and performance improvement follow the Employee Handbook and applicable law.</w:t>
      </w:r>
    </w:p>
    <w:p>
      <w:pPr>
        <w:pStyle w:val="Heading3"/>
      </w:pPr>
      <w:r>
        <w:rPr>
          <w:rFonts w:ascii="Mendl Sans Dusk Medium" w:hAnsi="Mendl Sans Dusk Medium"/>
          <w:b w:val="0"/>
          <w:color w:val="1E392C"/>
          <w:sz w:val="23"/>
        </w:rPr>
        <w:t>26.5 Separation</w:t>
      </w:r>
    </w:p>
    <w:p>
      <w:r>
        <w:rPr>
          <w:rFonts w:ascii="Mendl Sans Dusk Regular" w:hAnsi="Mendl Sans Dusk Regular"/>
          <w:b w:val="0"/>
          <w:color w:val="202723"/>
          <w:sz w:val="21"/>
        </w:rPr>
        <w:t>Separation triggers coordinated HR, payroll, access, property, benefits, records and communication actions. System access is revoked at the risk-appropriate time, privileged access immediately, and company information is preserved.</w:t>
      </w:r>
    </w:p>
    <w:p>
      <w:pPr>
        <w:pStyle w:val="Heading2"/>
      </w:pPr>
      <w:r>
        <w:rPr>
          <w:rFonts w:ascii="Mendl Sans Dusk Medium" w:hAnsi="Mendl Sans Dusk Medium"/>
          <w:b w:val="0"/>
          <w:color w:val="628F79"/>
          <w:sz w:val="26"/>
        </w:rPr>
        <w:t>27. Equipment, fleet and tools</w:t>
      </w:r>
    </w:p>
    <w:p>
      <w:r>
        <w:rPr>
          <w:rFonts w:ascii="Mendl Sans Dusk Regular" w:hAnsi="Mendl Sans Dusk Regular"/>
          <w:b w:val="0"/>
          <w:color w:val="202723"/>
          <w:sz w:val="21"/>
        </w:rPr>
        <w:t>Every controlled asset shall have an owner, unique ID, status, location, inspection/maintenance requirements and operating restrictions.</w:t>
      </w:r>
    </w:p>
    <w:p>
      <w:r>
        <w:rPr>
          <w:rFonts w:ascii="Mendl Sans Dusk Regular" w:hAnsi="Mendl Sans Dusk Regular"/>
          <w:b w:val="0"/>
          <w:color w:val="202723"/>
          <w:sz w:val="21"/>
        </w:rPr>
        <w:t>Only trained and authorized personnel may operate equipment. Manufacturer instructions and applicable standards control inspection and use. Defective equipment is tagged out and segregated until repaired and released.</w:t>
      </w:r>
    </w:p>
    <w:p>
      <w:r>
        <w:rPr>
          <w:rFonts w:ascii="Mendl Sans Dusk Regular" w:hAnsi="Mendl Sans Dusk Regular"/>
          <w:b w:val="0"/>
          <w:color w:val="202723"/>
          <w:sz w:val="21"/>
        </w:rPr>
        <w:t>Vehicle and mobile-equipment programs include driver authorization, MVR review where lawful, pre-use inspection, seat belts, distracted-driving controls, incident reporting, maintenance, load securement and personal-use rules.</w:t>
      </w:r>
    </w:p>
    <w:p>
      <w:pPr>
        <w:pStyle w:val="Heading2"/>
      </w:pPr>
      <w:r>
        <w:rPr>
          <w:rFonts w:ascii="Mendl Sans Dusk Medium" w:hAnsi="Mendl Sans Dusk Medium"/>
          <w:b w:val="0"/>
          <w:color w:val="628F79"/>
          <w:sz w:val="26"/>
        </w:rPr>
        <w:t>28. Warehouse and materials</w:t>
      </w:r>
    </w:p>
    <w:p>
      <w:r>
        <w:rPr>
          <w:rFonts w:ascii="Mendl Sans Dusk Regular" w:hAnsi="Mendl Sans Dusk Regular"/>
          <w:b w:val="0"/>
          <w:color w:val="202723"/>
          <w:sz w:val="21"/>
        </w:rPr>
        <w:t>Warehouse controls cover receiving, inspection, storage, inventory, tool checkout, hazardous-material segregation, damaged goods, calibration when applicable, delivery evidence and return/disposal.</w:t>
      </w:r>
    </w:p>
    <w:p>
      <w:r>
        <w:rPr>
          <w:rFonts w:ascii="Mendl Sans Dusk Regular" w:hAnsi="Mendl Sans Dusk Regular"/>
          <w:b w:val="0"/>
          <w:color w:val="202723"/>
          <w:sz w:val="21"/>
        </w:rPr>
        <w:t>Chemical receipt is not complete until the product is approved, the exact SDS is available, the container is labeled and the chemical inventory is updated.</w:t>
      </w:r>
    </w:p>
    <w:p>
      <w:pPr>
        <w:pStyle w:val="Heading1"/>
      </w:pPr>
      <w:r>
        <w:rPr>
          <w:rFonts w:ascii="Mendl Sans Dusk Bold" w:hAnsi="Mendl Sans Dusk Bold"/>
          <w:b/>
          <w:color w:val="386851"/>
          <w:sz w:val="32"/>
        </w:rPr>
        <w:t>Part VII - Technology, resilience and enterprise risk</w:t>
      </w:r>
    </w:p>
    <w:p>
      <w:pPr>
        <w:pStyle w:val="Heading2"/>
      </w:pPr>
      <w:r>
        <w:rPr>
          <w:rFonts w:ascii="Mendl Sans Dusk Medium" w:hAnsi="Mendl Sans Dusk Medium"/>
          <w:b w:val="0"/>
          <w:color w:val="628F79"/>
          <w:sz w:val="26"/>
        </w:rPr>
        <w:t>29. Information technology and data governance</w:t>
      </w:r>
    </w:p>
    <w:p>
      <w:pPr>
        <w:pStyle w:val="Heading3"/>
      </w:pPr>
      <w:r>
        <w:rPr>
          <w:rFonts w:ascii="Mendl Sans Dusk Medium" w:hAnsi="Mendl Sans Dusk Medium"/>
          <w:b w:val="0"/>
          <w:color w:val="1E392C"/>
          <w:sz w:val="23"/>
        </w:rPr>
        <w:t>29.1 System-of-record matrix</w:t>
      </w:r>
    </w:p>
    <w:p>
      <w:r>
        <w:rPr>
          <w:rFonts w:ascii="Mendl Sans Dusk Regular" w:hAnsi="Mendl Sans Dusk Regular"/>
          <w:b w:val="0"/>
          <w:color w:val="202723"/>
          <w:sz w:val="21"/>
        </w:rPr>
        <w:t>The company shall name the authoritative system for each record class. At minimum:</w:t>
      </w:r>
    </w:p>
    <w:tbl>
      <w:tblPr>
        <w:tblStyle w:val="TableGrid"/>
        <w:tblW w:type="auto" w:w="0"/>
        <w:jc w:val="left"/>
        <w:tblLayout w:type="fixed"/>
        <w:tblLook w:firstColumn="1" w:firstRow="1" w:lastColumn="0" w:lastRow="0" w:noHBand="0" w:noVBand="1" w:val="04A0"/>
      </w:tblPr>
      <w:tblGrid>
        <w:gridCol w:w="4939"/>
        <w:gridCol w:w="4939"/>
      </w:tblGrid>
      <w:tr>
        <w:tc>
          <w:tcPr>
            <w:tcW w:type="dxa" w:w="276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Record class</w:t>
            </w:r>
          </w:p>
        </w:tc>
        <w:tc>
          <w:tcPr>
            <w:tcW w:type="dxa" w:w="660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Required decision</w:t>
            </w:r>
          </w:p>
        </w:tc>
      </w:tr>
      <w:tr>
        <w:tc>
          <w:tcPr>
            <w:tcW w:type="dxa" w:w="2760"/>
            <w:vAlign w:val="center"/>
            <w:tcMar>
              <w:top w:w="80" w:type="dxa"/>
              <w:start w:w="120" w:type="dxa"/>
              <w:bottom w:w="80" w:type="dxa"/>
              <w:end w:w="120" w:type="dxa"/>
            </w:tcMar>
          </w:tcPr>
          <w:p>
            <w:pPr>
              <w:spacing w:after="0"/>
            </w:pPr>
            <w:r>
              <w:rPr>
                <w:rFonts w:ascii="Mendl Sans Dusk Regular" w:hAnsi="Mendl Sans Dusk Regular"/>
                <w:b w:val="0"/>
                <w:color w:val="202723"/>
                <w:sz w:val="16"/>
              </w:rPr>
              <w:t>Project records</w:t>
            </w:r>
          </w:p>
        </w:tc>
        <w:tc>
          <w:tcPr>
            <w:tcW w:type="dxa" w:w="6600"/>
            <w:vAlign w:val="center"/>
            <w:tcMar>
              <w:top w:w="80" w:type="dxa"/>
              <w:start w:w="120" w:type="dxa"/>
              <w:bottom w:w="80" w:type="dxa"/>
              <w:end w:w="120" w:type="dxa"/>
            </w:tcMar>
          </w:tcPr>
          <w:p>
            <w:pPr>
              <w:spacing w:after="0"/>
            </w:pPr>
            <w:r>
              <w:rPr>
                <w:rFonts w:ascii="Mendl Sans Dusk Regular" w:hAnsi="Mendl Sans Dusk Regular"/>
                <w:b w:val="0"/>
                <w:color w:val="202723"/>
                <w:sz w:val="16"/>
              </w:rPr>
              <w:t>Approved project-management system and archive location.</w:t>
            </w:r>
          </w:p>
        </w:tc>
      </w:tr>
      <w:tr>
        <w:tc>
          <w:tcPr>
            <w:tcW w:type="dxa" w:w="276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Accounting/job cost</w:t>
            </w:r>
          </w:p>
        </w:tc>
        <w:tc>
          <w:tcPr>
            <w:tcW w:type="dxa" w:w="660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Approved accounting system.</w:t>
            </w:r>
          </w:p>
        </w:tc>
      </w:tr>
      <w:tr>
        <w:tc>
          <w:tcPr>
            <w:tcW w:type="dxa" w:w="2760"/>
            <w:vAlign w:val="center"/>
            <w:tcMar>
              <w:top w:w="80" w:type="dxa"/>
              <w:start w:w="120" w:type="dxa"/>
              <w:bottom w:w="80" w:type="dxa"/>
              <w:end w:w="120" w:type="dxa"/>
            </w:tcMar>
          </w:tcPr>
          <w:p>
            <w:pPr>
              <w:spacing w:after="0"/>
            </w:pPr>
            <w:r>
              <w:rPr>
                <w:rFonts w:ascii="Mendl Sans Dusk Regular" w:hAnsi="Mendl Sans Dusk Regular"/>
                <w:b w:val="0"/>
                <w:color w:val="202723"/>
                <w:sz w:val="16"/>
              </w:rPr>
              <w:t>CRM/opportunities</w:t>
            </w:r>
          </w:p>
        </w:tc>
        <w:tc>
          <w:tcPr>
            <w:tcW w:type="dxa" w:w="6600"/>
            <w:vAlign w:val="center"/>
            <w:tcMar>
              <w:top w:w="80" w:type="dxa"/>
              <w:start w:w="120" w:type="dxa"/>
              <w:bottom w:w="80" w:type="dxa"/>
              <w:end w:w="120" w:type="dxa"/>
            </w:tcMar>
          </w:tcPr>
          <w:p>
            <w:pPr>
              <w:spacing w:after="0"/>
            </w:pPr>
            <w:r>
              <w:rPr>
                <w:rFonts w:ascii="Mendl Sans Dusk Regular" w:hAnsi="Mendl Sans Dusk Regular"/>
                <w:b w:val="0"/>
                <w:color w:val="202723"/>
                <w:sz w:val="16"/>
              </w:rPr>
              <w:t>Approved CRM.</w:t>
            </w:r>
          </w:p>
        </w:tc>
      </w:tr>
      <w:tr>
        <w:tc>
          <w:tcPr>
            <w:tcW w:type="dxa" w:w="276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Employee records</w:t>
            </w:r>
          </w:p>
        </w:tc>
        <w:tc>
          <w:tcPr>
            <w:tcW w:type="dxa" w:w="660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Restricted HR/payroll system.</w:t>
            </w:r>
          </w:p>
        </w:tc>
      </w:tr>
      <w:tr>
        <w:tc>
          <w:tcPr>
            <w:tcW w:type="dxa" w:w="2760"/>
            <w:vAlign w:val="center"/>
            <w:tcMar>
              <w:top w:w="80" w:type="dxa"/>
              <w:start w:w="120" w:type="dxa"/>
              <w:bottom w:w="80" w:type="dxa"/>
              <w:end w:w="120" w:type="dxa"/>
            </w:tcMar>
          </w:tcPr>
          <w:p>
            <w:pPr>
              <w:spacing w:after="0"/>
            </w:pPr>
            <w:r>
              <w:rPr>
                <w:rFonts w:ascii="Mendl Sans Dusk Regular" w:hAnsi="Mendl Sans Dusk Regular"/>
                <w:b w:val="0"/>
                <w:color w:val="202723"/>
                <w:sz w:val="16"/>
              </w:rPr>
              <w:t>Controlled manuals</w:t>
            </w:r>
          </w:p>
        </w:tc>
        <w:tc>
          <w:tcPr>
            <w:tcW w:type="dxa" w:w="6600"/>
            <w:vAlign w:val="center"/>
            <w:tcMar>
              <w:top w:w="80" w:type="dxa"/>
              <w:start w:w="120" w:type="dxa"/>
              <w:bottom w:w="80" w:type="dxa"/>
              <w:end w:w="120" w:type="dxa"/>
            </w:tcMar>
          </w:tcPr>
          <w:p>
            <w:pPr>
              <w:spacing w:after="0"/>
            </w:pPr>
            <w:r>
              <w:rPr>
                <w:rFonts w:ascii="Mendl Sans Dusk Regular" w:hAnsi="Mendl Sans Dusk Regular"/>
                <w:b w:val="0"/>
                <w:color w:val="202723"/>
                <w:sz w:val="16"/>
              </w:rPr>
              <w:t>Approved repository with version history.</w:t>
            </w:r>
          </w:p>
        </w:tc>
      </w:tr>
      <w:tr>
        <w:tc>
          <w:tcPr>
            <w:tcW w:type="dxa" w:w="276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Source code/automation</w:t>
            </w:r>
          </w:p>
        </w:tc>
        <w:tc>
          <w:tcPr>
            <w:tcW w:type="dxa" w:w="660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Private version-control repository.</w:t>
            </w:r>
          </w:p>
        </w:tc>
      </w:tr>
      <w:tr>
        <w:tc>
          <w:tcPr>
            <w:tcW w:type="dxa" w:w="2760"/>
            <w:vAlign w:val="center"/>
            <w:tcMar>
              <w:top w:w="80" w:type="dxa"/>
              <w:start w:w="120" w:type="dxa"/>
              <w:bottom w:w="80" w:type="dxa"/>
              <w:end w:w="120" w:type="dxa"/>
            </w:tcMar>
          </w:tcPr>
          <w:p>
            <w:pPr>
              <w:spacing w:after="0"/>
            </w:pPr>
            <w:r>
              <w:rPr>
                <w:rFonts w:ascii="Mendl Sans Dusk Regular" w:hAnsi="Mendl Sans Dusk Regular"/>
                <w:b w:val="0"/>
                <w:color w:val="202723"/>
                <w:sz w:val="16"/>
              </w:rPr>
              <w:t>Safety/SDS field access</w:t>
            </w:r>
          </w:p>
        </w:tc>
        <w:tc>
          <w:tcPr>
            <w:tcW w:type="dxa" w:w="6600"/>
            <w:vAlign w:val="center"/>
            <w:tcMar>
              <w:top w:w="80" w:type="dxa"/>
              <w:start w:w="120" w:type="dxa"/>
              <w:bottom w:w="80" w:type="dxa"/>
              <w:end w:w="120" w:type="dxa"/>
            </w:tcMar>
          </w:tcPr>
          <w:p>
            <w:pPr>
              <w:spacing w:after="0"/>
            </w:pPr>
            <w:r>
              <w:rPr>
                <w:rFonts w:ascii="Mendl Sans Dusk Regular" w:hAnsi="Mendl Sans Dusk Regular"/>
                <w:b w:val="0"/>
                <w:color w:val="202723"/>
                <w:sz w:val="16"/>
              </w:rPr>
              <w:t>Approved online source plus tested offline fallback.</w:t>
            </w:r>
          </w:p>
        </w:tc>
      </w:tr>
    </w:tbl>
    <w:p>
      <w:pPr>
        <w:spacing w:after="20"/>
      </w:pPr>
    </w:p>
    <w:p>
      <w:r>
        <w:rPr>
          <w:rFonts w:ascii="Mendl Sans Dusk Regular" w:hAnsi="Mendl Sans Dusk Regular"/>
          <w:b w:val="0"/>
          <w:color w:val="202723"/>
          <w:sz w:val="21"/>
        </w:rPr>
        <w:t>Duplicated repositories must have an explicit master/follower relationship and synchronization owner.</w:t>
      </w:r>
    </w:p>
    <w:p>
      <w:pPr>
        <w:pStyle w:val="Heading3"/>
      </w:pPr>
      <w:r>
        <w:rPr>
          <w:rFonts w:ascii="Mendl Sans Dusk Medium" w:hAnsi="Mendl Sans Dusk Medium"/>
          <w:b w:val="0"/>
          <w:color w:val="1E392C"/>
          <w:sz w:val="23"/>
        </w:rPr>
        <w:t>29.2 Security baseline</w:t>
      </w:r>
    </w:p>
    <w:p>
      <w:r>
        <w:rPr>
          <w:rFonts w:ascii="Mendl Sans Dusk Regular" w:hAnsi="Mendl Sans Dusk Regular"/>
          <w:b w:val="0"/>
          <w:color w:val="202723"/>
          <w:sz w:val="21"/>
        </w:rPr>
        <w:t>The security program follows NIST CSF 2.0's Govern, Identify, Protect, Detect, Respond and Recover functions. Minimum controls include:</w:t>
      </w:r>
    </w:p>
    <w:p>
      <w:pPr>
        <w:pStyle w:val="ListBullet"/>
        <w:spacing w:after="80" w:line="276" w:lineRule="auto"/>
        <w:ind w:left="461" w:hanging="259"/>
      </w:pPr>
      <w:r>
        <w:rPr>
          <w:rFonts w:ascii="Mendl Sans Dusk Regular" w:hAnsi="Mendl Sans Dusk Regular"/>
          <w:b w:val="0"/>
          <w:color w:val="202723"/>
          <w:sz w:val="21"/>
        </w:rPr>
        <w:t>inventory of users, devices, applications, vendors and data;</w:t>
      </w:r>
    </w:p>
    <w:p>
      <w:pPr>
        <w:pStyle w:val="ListBullet"/>
        <w:spacing w:after="80" w:line="276" w:lineRule="auto"/>
        <w:ind w:left="461" w:hanging="259"/>
      </w:pPr>
      <w:r>
        <w:rPr>
          <w:rFonts w:ascii="Mendl Sans Dusk Regular" w:hAnsi="Mendl Sans Dusk Regular"/>
          <w:b w:val="0"/>
          <w:color w:val="202723"/>
          <w:sz w:val="21"/>
        </w:rPr>
        <w:t>role-based access and least privilege;</w:t>
      </w:r>
    </w:p>
    <w:p>
      <w:pPr>
        <w:pStyle w:val="ListBullet"/>
        <w:spacing w:after="80" w:line="276" w:lineRule="auto"/>
        <w:ind w:left="461" w:hanging="259"/>
      </w:pPr>
      <w:r>
        <w:rPr>
          <w:rFonts w:ascii="Mendl Sans Dusk Regular" w:hAnsi="Mendl Sans Dusk Regular"/>
          <w:b w:val="0"/>
          <w:color w:val="202723"/>
          <w:sz w:val="21"/>
        </w:rPr>
        <w:t>phishing-resistant MFA where available;</w:t>
      </w:r>
    </w:p>
    <w:p>
      <w:pPr>
        <w:pStyle w:val="ListBullet"/>
        <w:spacing w:after="80" w:line="276" w:lineRule="auto"/>
        <w:ind w:left="461" w:hanging="259"/>
      </w:pPr>
      <w:r>
        <w:rPr>
          <w:rFonts w:ascii="Mendl Sans Dusk Regular" w:hAnsi="Mendl Sans Dusk Regular"/>
          <w:b w:val="0"/>
          <w:color w:val="202723"/>
          <w:sz w:val="21"/>
        </w:rPr>
        <w:t>approved password manager and no credential sharing;</w:t>
      </w:r>
    </w:p>
    <w:p>
      <w:pPr>
        <w:pStyle w:val="ListBullet"/>
        <w:spacing w:after="80" w:line="276" w:lineRule="auto"/>
        <w:ind w:left="461" w:hanging="259"/>
      </w:pPr>
      <w:r>
        <w:rPr>
          <w:rFonts w:ascii="Mendl Sans Dusk Regular" w:hAnsi="Mendl Sans Dusk Regular"/>
          <w:b w:val="0"/>
          <w:color w:val="202723"/>
          <w:sz w:val="21"/>
        </w:rPr>
        <w:t>managed endpoint protection, patching and encryption;</w:t>
      </w:r>
    </w:p>
    <w:p>
      <w:pPr>
        <w:pStyle w:val="ListBullet"/>
        <w:spacing w:after="80" w:line="276" w:lineRule="auto"/>
        <w:ind w:left="461" w:hanging="259"/>
      </w:pPr>
      <w:r>
        <w:rPr>
          <w:rFonts w:ascii="Mendl Sans Dusk Regular" w:hAnsi="Mendl Sans Dusk Regular"/>
          <w:b w:val="0"/>
          <w:color w:val="202723"/>
          <w:sz w:val="21"/>
        </w:rPr>
        <w:t>secure backup separated from production credentials;</w:t>
      </w:r>
    </w:p>
    <w:p>
      <w:pPr>
        <w:pStyle w:val="ListBullet"/>
        <w:spacing w:after="80" w:line="276" w:lineRule="auto"/>
        <w:ind w:left="461" w:hanging="259"/>
      </w:pPr>
      <w:r>
        <w:rPr>
          <w:rFonts w:ascii="Mendl Sans Dusk Regular" w:hAnsi="Mendl Sans Dusk Regular"/>
          <w:b w:val="0"/>
          <w:color w:val="202723"/>
          <w:sz w:val="21"/>
        </w:rPr>
        <w:t>logging and alerting for privileged and high-risk activity;</w:t>
      </w:r>
    </w:p>
    <w:p>
      <w:pPr>
        <w:pStyle w:val="ListBullet"/>
        <w:spacing w:after="80" w:line="276" w:lineRule="auto"/>
        <w:ind w:left="461" w:hanging="259"/>
      </w:pPr>
      <w:r>
        <w:rPr>
          <w:rFonts w:ascii="Mendl Sans Dusk Regular" w:hAnsi="Mendl Sans Dusk Regular"/>
          <w:b w:val="0"/>
          <w:color w:val="202723"/>
          <w:sz w:val="21"/>
        </w:rPr>
        <w:t>vendor-access approval and periodic review;</w:t>
      </w:r>
    </w:p>
    <w:p>
      <w:pPr>
        <w:pStyle w:val="ListBullet"/>
        <w:spacing w:after="80" w:line="276" w:lineRule="auto"/>
        <w:ind w:left="461" w:hanging="259"/>
      </w:pPr>
      <w:r>
        <w:rPr>
          <w:rFonts w:ascii="Mendl Sans Dusk Regular" w:hAnsi="Mendl Sans Dusk Regular"/>
          <w:b w:val="0"/>
          <w:color w:val="202723"/>
          <w:sz w:val="21"/>
        </w:rPr>
        <w:t>tested incident-response and recovery plans;</w:t>
      </w:r>
    </w:p>
    <w:p>
      <w:pPr>
        <w:pStyle w:val="ListBullet"/>
        <w:spacing w:after="80" w:line="276" w:lineRule="auto"/>
        <w:ind w:left="461" w:hanging="259"/>
      </w:pPr>
      <w:r>
        <w:rPr>
          <w:rFonts w:ascii="Mendl Sans Dusk Regular" w:hAnsi="Mendl Sans Dusk Regular"/>
          <w:b w:val="0"/>
          <w:color w:val="202723"/>
          <w:sz w:val="21"/>
        </w:rPr>
        <w:t>security awareness and phishing reporting;</w:t>
      </w:r>
    </w:p>
    <w:p>
      <w:pPr>
        <w:pStyle w:val="ListBullet"/>
        <w:spacing w:after="80" w:line="276" w:lineRule="auto"/>
        <w:ind w:left="461" w:hanging="259"/>
      </w:pPr>
      <w:r>
        <w:rPr>
          <w:rFonts w:ascii="Mendl Sans Dusk Regular" w:hAnsi="Mendl Sans Dusk Regular"/>
          <w:b w:val="0"/>
          <w:color w:val="202723"/>
          <w:sz w:val="21"/>
        </w:rPr>
        <w:t>prompt removal of access at separation.</w:t>
      </w:r>
    </w:p>
    <w:p>
      <w:pPr>
        <w:pStyle w:val="Heading3"/>
      </w:pPr>
      <w:r>
        <w:rPr>
          <w:rFonts w:ascii="Mendl Sans Dusk Medium" w:hAnsi="Mendl Sans Dusk Medium"/>
          <w:b w:val="0"/>
          <w:color w:val="1E392C"/>
          <w:sz w:val="23"/>
        </w:rPr>
        <w:t>29.3 Data classification</w:t>
      </w:r>
    </w:p>
    <w:p>
      <w:r>
        <w:rPr>
          <w:rFonts w:ascii="Mendl Sans Dusk Regular" w:hAnsi="Mendl Sans Dusk Regular"/>
          <w:b w:val="0"/>
          <w:color w:val="202723"/>
          <w:sz w:val="21"/>
        </w:rPr>
        <w:t>Information shall be classified at least as Public, Internal, Confidential or Restricted. Payroll, employee medical information, identity documents, bank data, credentials, legal privilege and certain client information receive Restricted handling.</w:t>
      </w:r>
    </w:p>
    <w:p>
      <w:pPr>
        <w:pStyle w:val="Heading3"/>
      </w:pPr>
      <w:r>
        <w:rPr>
          <w:rFonts w:ascii="Mendl Sans Dusk Medium" w:hAnsi="Mendl Sans Dusk Medium"/>
          <w:b w:val="0"/>
          <w:color w:val="1E392C"/>
          <w:sz w:val="23"/>
        </w:rPr>
        <w:t>29.4 Backup and recovery</w:t>
      </w:r>
    </w:p>
    <w:p>
      <w:r>
        <w:rPr>
          <w:rFonts w:ascii="Mendl Sans Dusk Regular" w:hAnsi="Mendl Sans Dusk Regular"/>
          <w:b w:val="0"/>
          <w:color w:val="202723"/>
          <w:sz w:val="21"/>
        </w:rPr>
        <w:t>Each critical system shall have an owner, backup method, recovery-point objective, recovery-time objective, restoration procedure and test cadence. A successful backup job is not proof of recoverability; restoration must be tested.</w:t>
      </w:r>
    </w:p>
    <w:p>
      <w:pPr>
        <w:pStyle w:val="Heading2"/>
      </w:pPr>
      <w:r>
        <w:rPr>
          <w:rFonts w:ascii="Mendl Sans Dusk Medium" w:hAnsi="Mendl Sans Dusk Medium"/>
          <w:b w:val="0"/>
          <w:color w:val="628F79"/>
          <w:sz w:val="26"/>
        </w:rPr>
        <w:t>30. Emergency response and business continuity</w:t>
      </w:r>
    </w:p>
    <w:p>
      <w:r>
        <w:rPr>
          <w:rFonts w:ascii="Mendl Sans Dusk Regular" w:hAnsi="Mendl Sans Dusk Regular"/>
          <w:b w:val="0"/>
          <w:color w:val="202723"/>
          <w:sz w:val="21"/>
        </w:rPr>
        <w:t>Project emergency plans cover credible events, contacts, command, evacuation/shelter, medical response, fire, severe weather, spill, utility strike, security and required notification.</w:t>
      </w:r>
    </w:p>
    <w:p>
      <w:r>
        <w:rPr>
          <w:rFonts w:ascii="Mendl Sans Dusk Regular" w:hAnsi="Mendl Sans Dusk Regular"/>
          <w:b w:val="0"/>
          <w:color w:val="202723"/>
          <w:sz w:val="21"/>
        </w:rPr>
        <w:t>The enterprise continuity plan covers loss of leadership, facility, power, communications, critical system, banking access, key vendor, major client/project and regional disaster.</w:t>
      </w:r>
    </w:p>
    <w:p>
      <w:r>
        <w:rPr>
          <w:rFonts w:ascii="Mendl Sans Dusk Regular" w:hAnsi="Mendl Sans Dusk Regular"/>
          <w:b w:val="0"/>
          <w:color w:val="202723"/>
          <w:sz w:val="21"/>
        </w:rPr>
        <w:t>Continuity planning identifies:</w:t>
      </w:r>
    </w:p>
    <w:p>
      <w:pPr>
        <w:pStyle w:val="ListBullet"/>
        <w:spacing w:after="80" w:line="276" w:lineRule="auto"/>
        <w:ind w:left="461" w:hanging="259"/>
      </w:pPr>
      <w:r>
        <w:rPr>
          <w:rFonts w:ascii="Mendl Sans Dusk Regular" w:hAnsi="Mendl Sans Dusk Regular"/>
          <w:b w:val="0"/>
          <w:color w:val="202723"/>
          <w:sz w:val="21"/>
        </w:rPr>
        <w:t>critical processes and maximum tolerable outage;</w:t>
      </w:r>
    </w:p>
    <w:p>
      <w:pPr>
        <w:pStyle w:val="ListBullet"/>
        <w:spacing w:after="80" w:line="276" w:lineRule="auto"/>
        <w:ind w:left="461" w:hanging="259"/>
      </w:pPr>
      <w:r>
        <w:rPr>
          <w:rFonts w:ascii="Mendl Sans Dusk Regular" w:hAnsi="Mendl Sans Dusk Regular"/>
          <w:b w:val="0"/>
          <w:color w:val="202723"/>
          <w:sz w:val="21"/>
        </w:rPr>
        <w:t>primary and alternate owners;</w:t>
      </w:r>
    </w:p>
    <w:p>
      <w:pPr>
        <w:pStyle w:val="ListBullet"/>
        <w:spacing w:after="80" w:line="276" w:lineRule="auto"/>
        <w:ind w:left="461" w:hanging="259"/>
      </w:pPr>
      <w:r>
        <w:rPr>
          <w:rFonts w:ascii="Mendl Sans Dusk Regular" w:hAnsi="Mendl Sans Dusk Regular"/>
          <w:b w:val="0"/>
          <w:color w:val="202723"/>
          <w:sz w:val="21"/>
        </w:rPr>
        <w:t>manual/offline workarounds;</w:t>
      </w:r>
    </w:p>
    <w:p>
      <w:pPr>
        <w:pStyle w:val="ListBullet"/>
        <w:spacing w:after="80" w:line="276" w:lineRule="auto"/>
        <w:ind w:left="461" w:hanging="259"/>
      </w:pPr>
      <w:r>
        <w:rPr>
          <w:rFonts w:ascii="Mendl Sans Dusk Regular" w:hAnsi="Mendl Sans Dusk Regular"/>
          <w:b w:val="0"/>
          <w:color w:val="202723"/>
          <w:sz w:val="21"/>
        </w:rPr>
        <w:t>internal, client, insurer, regulator and public communications;</w:t>
      </w:r>
    </w:p>
    <w:p>
      <w:pPr>
        <w:pStyle w:val="ListBullet"/>
        <w:spacing w:after="80" w:line="276" w:lineRule="auto"/>
        <w:ind w:left="461" w:hanging="259"/>
      </w:pPr>
      <w:r>
        <w:rPr>
          <w:rFonts w:ascii="Mendl Sans Dusk Regular" w:hAnsi="Mendl Sans Dusk Regular"/>
          <w:b w:val="0"/>
          <w:color w:val="202723"/>
          <w:sz w:val="21"/>
        </w:rPr>
        <w:t>backup sites, systems and records;</w:t>
      </w:r>
    </w:p>
    <w:p>
      <w:pPr>
        <w:pStyle w:val="ListBullet"/>
        <w:spacing w:after="80" w:line="276" w:lineRule="auto"/>
        <w:ind w:left="461" w:hanging="259"/>
      </w:pPr>
      <w:r>
        <w:rPr>
          <w:rFonts w:ascii="Mendl Sans Dusk Regular" w:hAnsi="Mendl Sans Dusk Regular"/>
          <w:b w:val="0"/>
          <w:color w:val="202723"/>
          <w:sz w:val="21"/>
        </w:rPr>
        <w:t>recovery priorities and decision authority;</w:t>
      </w:r>
    </w:p>
    <w:p>
      <w:pPr>
        <w:pStyle w:val="ListBullet"/>
        <w:spacing w:after="80" w:line="276" w:lineRule="auto"/>
        <w:ind w:left="461" w:hanging="259"/>
      </w:pPr>
      <w:r>
        <w:rPr>
          <w:rFonts w:ascii="Mendl Sans Dusk Regular" w:hAnsi="Mendl Sans Dusk Regular"/>
          <w:b w:val="0"/>
          <w:color w:val="202723"/>
          <w:sz w:val="21"/>
        </w:rPr>
        <w:t>exercise schedule and improvement actions.</w:t>
      </w:r>
    </w:p>
    <w:p>
      <w:pPr>
        <w:pStyle w:val="Heading2"/>
      </w:pPr>
      <w:r>
        <w:rPr>
          <w:rFonts w:ascii="Mendl Sans Dusk Medium" w:hAnsi="Mendl Sans Dusk Medium"/>
          <w:b w:val="0"/>
          <w:color w:val="628F79"/>
          <w:sz w:val="26"/>
        </w:rPr>
        <w:t>31. Insurance, bonding, licensing and legal risk</w:t>
      </w:r>
    </w:p>
    <w:p>
      <w:r>
        <w:rPr>
          <w:rFonts w:ascii="Mendl Sans Dusk Regular" w:hAnsi="Mendl Sans Dusk Regular"/>
          <w:b w:val="0"/>
          <w:color w:val="202723"/>
          <w:sz w:val="21"/>
        </w:rPr>
        <w:t>The company shall maintain an enterprise obligations calendar for insurance renewals, certificates, endorsements, bonds, licenses, registrations, annual reports, taxes, prequalification systems and contract reporting.</w:t>
      </w:r>
    </w:p>
    <w:p>
      <w:r>
        <w:rPr>
          <w:rFonts w:ascii="Mendl Sans Dusk Regular" w:hAnsi="Mendl Sans Dusk Regular"/>
          <w:b w:val="0"/>
          <w:color w:val="202723"/>
          <w:sz w:val="21"/>
        </w:rPr>
        <w:t>Coverage limits and requirements are reviewed against operations and contracts; the manual should not state fixed limits as universal law. Claims and circumstances that may become claims are reported under policy conditions.</w:t>
      </w:r>
    </w:p>
    <w:p>
      <w:r>
        <w:rPr>
          <w:rFonts w:ascii="Mendl Sans Dusk Regular" w:hAnsi="Mendl Sans Dusk Regular"/>
          <w:b w:val="0"/>
          <w:color w:val="202723"/>
          <w:sz w:val="21"/>
        </w:rPr>
        <w:t>Lien, bond-claim and notice procedures shall use jurisdiction- and role-specific decision trees approved by counsel. Blanket rules such as “send one notice on every project” are internal controls only if counsel confirms they preserve the intended rights.</w:t>
      </w:r>
    </w:p>
    <w:p>
      <w:pPr>
        <w:pStyle w:val="Heading2"/>
      </w:pPr>
      <w:r>
        <w:rPr>
          <w:rFonts w:ascii="Mendl Sans Dusk Medium" w:hAnsi="Mendl Sans Dusk Medium"/>
          <w:b w:val="0"/>
          <w:color w:val="628F79"/>
          <w:sz w:val="26"/>
        </w:rPr>
        <w:t>32. Enterprise risk management</w:t>
      </w:r>
    </w:p>
    <w:p>
      <w:r>
        <w:rPr>
          <w:rFonts w:ascii="Mendl Sans Dusk Regular" w:hAnsi="Mendl Sans Dusk Regular"/>
          <w:b w:val="0"/>
          <w:color w:val="202723"/>
          <w:sz w:val="21"/>
        </w:rPr>
        <w:t>Leadership maintains a risk register with description, cause, consequence, owner, likelihood, impact, response, due date, status and evidence. Categories include strategic, financial, contractual, operational, safety, quality, people, technology, legal, environmental, supply chain and reputation.</w:t>
      </w:r>
    </w:p>
    <w:p>
      <w:r>
        <w:rPr>
          <w:rFonts w:ascii="Mendl Sans Dusk Regular" w:hAnsi="Mendl Sans Dusk Regular"/>
          <w:b w:val="0"/>
          <w:color w:val="202723"/>
          <w:sz w:val="21"/>
        </w:rPr>
        <w:t>Top risks are reviewed quarterly and when triggered by major bids, acquisitions, new states, new delivery methods, incidents, claims or material system changes.</w:t>
      </w:r>
    </w:p>
    <w:p>
      <w:pPr>
        <w:pStyle w:val="Heading1"/>
      </w:pPr>
      <w:r>
        <w:rPr>
          <w:rFonts w:ascii="Mendl Sans Dusk Bold" w:hAnsi="Mendl Sans Dusk Bold"/>
          <w:b/>
          <w:color w:val="386851"/>
          <w:sz w:val="32"/>
        </w:rPr>
        <w:t>Part VIII - Field Pilot</w:t>
      </w:r>
    </w:p>
    <w:p>
      <w:pPr>
        <w:pStyle w:val="Heading2"/>
      </w:pPr>
      <w:r>
        <w:rPr>
          <w:rFonts w:ascii="Mendl Sans Dusk Medium" w:hAnsi="Mendl Sans Dusk Medium"/>
          <w:b w:val="0"/>
          <w:color w:val="628F79"/>
          <w:sz w:val="26"/>
        </w:rPr>
        <w:t>33. Digital field workspace and dashboard</w:t>
      </w:r>
    </w:p>
    <w:p>
      <w:r>
        <w:rPr>
          <w:rFonts w:ascii="Mendl Sans Dusk Regular" w:hAnsi="Mendl Sans Dusk Regular"/>
          <w:b w:val="0"/>
          <w:color w:val="202723"/>
          <w:sz w:val="21"/>
        </w:rPr>
        <w:t>Field Pilot is the approved, private interface for employees and authorized partners to locate controlled information and complete project work. It is a companion in the BidPilot / BuildPilot product ecosystem and follows the same interaction language. Its home screen is project-first: users select an active job and see only the current manuals, forms, assignments, recent submissions and records relevant to that job and their role.</w:t>
      </w:r>
    </w:p>
    <w:p>
      <w:pPr>
        <w:pStyle w:val="Heading3"/>
      </w:pPr>
      <w:r>
        <w:rPr>
          <w:rFonts w:ascii="Mendl Sans Dusk Medium" w:hAnsi="Mendl Sans Dusk Medium"/>
          <w:b w:val="0"/>
          <w:color w:val="1E392C"/>
          <w:sz w:val="23"/>
        </w:rPr>
        <w:t>33.1 Required capabilities</w:t>
      </w:r>
    </w:p>
    <w:p>
      <w:pPr>
        <w:pStyle w:val="ListBullet"/>
        <w:spacing w:after="80" w:line="276" w:lineRule="auto"/>
        <w:ind w:left="461" w:hanging="259"/>
      </w:pPr>
      <w:r>
        <w:rPr>
          <w:rFonts w:ascii="Mendl Sans Dusk Regular" w:hAnsi="Mendl Sans Dusk Regular"/>
          <w:b w:val="0"/>
          <w:color w:val="202723"/>
          <w:sz w:val="21"/>
        </w:rPr>
        <w:t>responsive tablet, phone and desktop experience with large field-usable targets;</w:t>
      </w:r>
    </w:p>
    <w:p>
      <w:pPr>
        <w:pStyle w:val="ListBullet"/>
        <w:spacing w:after="80" w:line="276" w:lineRule="auto"/>
        <w:ind w:left="461" w:hanging="259"/>
      </w:pPr>
      <w:r>
        <w:rPr>
          <w:rFonts w:ascii="Mendl Sans Dusk Regular" w:hAnsi="Mendl Sans Dusk Regular"/>
          <w:b w:val="0"/>
          <w:color w:val="202723"/>
          <w:sz w:val="21"/>
        </w:rPr>
        <w:t>private authenticated access and role-based authorization;</w:t>
      </w:r>
    </w:p>
    <w:p>
      <w:pPr>
        <w:pStyle w:val="ListBullet"/>
        <w:spacing w:after="80" w:line="276" w:lineRule="auto"/>
        <w:ind w:left="461" w:hanging="259"/>
      </w:pPr>
      <w:r>
        <w:rPr>
          <w:rFonts w:ascii="Mendl Sans Dusk Regular" w:hAnsi="Mendl Sans Dusk Regular"/>
          <w:b w:val="0"/>
          <w:color w:val="202723"/>
          <w:sz w:val="21"/>
        </w:rPr>
        <w:t>controlled library for the five manuals, procedures, TBTs, forms and current manufacturer SDS files;</w:t>
      </w:r>
    </w:p>
    <w:p>
      <w:pPr>
        <w:pStyle w:val="ListBullet"/>
        <w:spacing w:after="80" w:line="276" w:lineRule="auto"/>
        <w:ind w:left="461" w:hanging="259"/>
      </w:pPr>
      <w:r>
        <w:rPr>
          <w:rFonts w:ascii="Mendl Sans Dusk Regular" w:hAnsi="Mendl Sans Dusk Regular"/>
          <w:b w:val="0"/>
          <w:color w:val="202723"/>
          <w:sz w:val="21"/>
        </w:rPr>
        <w:t>project workspaces where authorized users attach approved forms and documents to a specific job;</w:t>
      </w:r>
    </w:p>
    <w:p>
      <w:pPr>
        <w:pStyle w:val="ListBullet"/>
        <w:spacing w:after="80" w:line="276" w:lineRule="auto"/>
        <w:ind w:left="461" w:hanging="259"/>
      </w:pPr>
      <w:r>
        <w:rPr>
          <w:rFonts w:ascii="Mendl Sans Dusk Regular" w:hAnsi="Mendl Sans Dusk Regular"/>
          <w:b w:val="0"/>
          <w:color w:val="202723"/>
          <w:sz w:val="21"/>
        </w:rPr>
        <w:t>electronic field-form completion, attestation, time stamp, version and project association;</w:t>
      </w:r>
    </w:p>
    <w:p>
      <w:pPr>
        <w:pStyle w:val="ListBullet"/>
        <w:spacing w:after="80" w:line="276" w:lineRule="auto"/>
        <w:ind w:left="461" w:hanging="259"/>
      </w:pPr>
      <w:r>
        <w:rPr>
          <w:rFonts w:ascii="Mendl Sans Dusk Regular" w:hAnsi="Mendl Sans Dusk Regular"/>
          <w:b w:val="0"/>
          <w:color w:val="202723"/>
          <w:sz w:val="21"/>
        </w:rPr>
        <w:t>search by title, ID, topic, chemical, trade, task and project;</w:t>
      </w:r>
    </w:p>
    <w:p>
      <w:pPr>
        <w:pStyle w:val="ListBullet"/>
        <w:spacing w:after="80" w:line="276" w:lineRule="auto"/>
        <w:ind w:left="461" w:hanging="259"/>
      </w:pPr>
      <w:r>
        <w:rPr>
          <w:rFonts w:ascii="Mendl Sans Dusk Regular" w:hAnsi="Mendl Sans Dusk Regular"/>
          <w:b w:val="0"/>
          <w:color w:val="202723"/>
          <w:sz w:val="21"/>
        </w:rPr>
        <w:t>online/offline synchronization strategy with visible sync status and conflict handling;</w:t>
      </w:r>
    </w:p>
    <w:p>
      <w:pPr>
        <w:pStyle w:val="ListBullet"/>
        <w:spacing w:after="80" w:line="276" w:lineRule="auto"/>
        <w:ind w:left="461" w:hanging="259"/>
      </w:pPr>
      <w:r>
        <w:rPr>
          <w:rFonts w:ascii="Mendl Sans Dusk Regular" w:hAnsi="Mendl Sans Dusk Regular"/>
          <w:b w:val="0"/>
          <w:color w:val="202723"/>
          <w:sz w:val="21"/>
        </w:rPr>
        <w:t>immutable audit evidence for permission, version, attachment, submission, download and print events;</w:t>
      </w:r>
    </w:p>
    <w:p>
      <w:pPr>
        <w:pStyle w:val="ListBullet"/>
        <w:spacing w:after="80" w:line="276" w:lineRule="auto"/>
        <w:ind w:left="461" w:hanging="259"/>
      </w:pPr>
      <w:r>
        <w:rPr>
          <w:rFonts w:ascii="Mendl Sans Dusk Regular" w:hAnsi="Mendl Sans Dusk Regular"/>
          <w:b w:val="0"/>
          <w:color w:val="202723"/>
          <w:sz w:val="21"/>
        </w:rPr>
        <w:t>server-side storage for metadata and object storage for controlled files and evidence.</w:t>
      </w:r>
    </w:p>
    <w:p>
      <w:pPr>
        <w:pStyle w:val="Heading3"/>
      </w:pPr>
      <w:r>
        <w:rPr>
          <w:rFonts w:ascii="Mendl Sans Dusk Medium" w:hAnsi="Mendl Sans Dusk Medium"/>
          <w:b w:val="0"/>
          <w:color w:val="1E392C"/>
          <w:sz w:val="23"/>
        </w:rPr>
        <w:t>33.2 Print and download control</w:t>
      </w:r>
    </w:p>
    <w:p>
      <w:r>
        <w:rPr>
          <w:rFonts w:ascii="Mendl Sans Dusk Regular" w:hAnsi="Mendl Sans Dusk Regular"/>
          <w:b w:val="0"/>
          <w:color w:val="202723"/>
          <w:sz w:val="21"/>
        </w:rPr>
        <w:t>Print/No Print is an administrative permission, not a visual preference. Only an in-house user assigned the Admin role may grant, remove or override it. Rules may be company-wide or limited by role, project and resource. The server must recheck authorization at the moment a print-ready file is requested; hiding a browser button is not sufficient. Every permission change and denied print attempt must record the actor, resource, scope, decision and time.</w:t>
      </w:r>
    </w:p>
    <w:p>
      <w:r>
        <w:rPr>
          <w:rFonts w:ascii="Mendl Sans Dusk Regular" w:hAnsi="Mendl Sans Dusk Regular"/>
          <w:b w:val="0"/>
          <w:color w:val="202723"/>
          <w:sz w:val="21"/>
        </w:rPr>
        <w:t>A No Print setting reduces uncontrolled paper but cannot guarantee prevention after a person can view information. Sensitive documents should use least-privilege access, watermarked views, short-lived file links, disabled bulk export and monitoring in addition to the print rule.</w:t>
      </w:r>
    </w:p>
    <w:p>
      <w:pPr>
        <w:pStyle w:val="Heading3"/>
      </w:pPr>
      <w:r>
        <w:rPr>
          <w:rFonts w:ascii="Mendl Sans Dusk Medium" w:hAnsi="Mendl Sans Dusk Medium"/>
          <w:b w:val="0"/>
          <w:color w:val="1E392C"/>
          <w:sz w:val="23"/>
        </w:rPr>
        <w:t>33.3 Project attachment and record model</w:t>
      </w:r>
    </w:p>
    <w:p>
      <w:r>
        <w:rPr>
          <w:rFonts w:ascii="Mendl Sans Dusk Regular" w:hAnsi="Mendl Sans Dusk Regular"/>
          <w:b w:val="0"/>
          <w:color w:val="202723"/>
          <w:sz w:val="21"/>
        </w:rPr>
        <w:t>An approved resource remains a single controlled master. Attaching it to a project creates a governed relationship containing the project, resource ID and version, required/optional status, assigner, date and applicable role. A submitted form creates a separate immutable project record; it never overwrites the master template. Superseded templates remain available to auditors but are removed from normal field selection.</w:t>
      </w:r>
    </w:p>
    <w:p>
      <w:pPr>
        <w:pStyle w:val="Heading3"/>
      </w:pPr>
      <w:r>
        <w:rPr>
          <w:rFonts w:ascii="Mendl Sans Dusk Medium" w:hAnsi="Mendl Sans Dusk Medium"/>
          <w:b w:val="0"/>
          <w:color w:val="1E392C"/>
          <w:sz w:val="23"/>
        </w:rPr>
        <w:t>33.4 Administration and release</w:t>
      </w:r>
    </w:p>
    <w:p>
      <w:r>
        <w:rPr>
          <w:rFonts w:ascii="Mendl Sans Dusk Regular" w:hAnsi="Mendl Sans Dusk Regular"/>
          <w:b w:val="0"/>
          <w:color w:val="202723"/>
          <w:sz w:val="21"/>
        </w:rPr>
        <w:t>The Admin Console controls user roles, project membership, resource status, project attachments and Print/No Print policy. Content changes still pass through owner, technical reviewer and approver workflow before publication. Initial deployment should be a limited pilot with representative office and field users, followed by security review, offline testing, retention validation and measured adoption before company-wide release.</w:t>
      </w:r>
    </w:p>
    <w:p>
      <w:pPr>
        <w:pStyle w:val="Heading1"/>
      </w:pPr>
      <w:r>
        <w:rPr>
          <w:rFonts w:ascii="Mendl Sans Dusk Bold" w:hAnsi="Mendl Sans Dusk Bold"/>
          <w:b/>
          <w:color w:val="386851"/>
          <w:sz w:val="32"/>
        </w:rPr>
        <w:t>Part IX - Records, assurance and improvement</w:t>
      </w:r>
    </w:p>
    <w:p>
      <w:pPr>
        <w:pStyle w:val="Heading2"/>
      </w:pPr>
      <w:r>
        <w:rPr>
          <w:rFonts w:ascii="Mendl Sans Dusk Medium" w:hAnsi="Mendl Sans Dusk Medium"/>
          <w:b w:val="0"/>
          <w:color w:val="628F79"/>
          <w:sz w:val="26"/>
        </w:rPr>
        <w:t>34. Document control</w:t>
      </w:r>
    </w:p>
    <w:p>
      <w:pPr>
        <w:pStyle w:val="Heading3"/>
      </w:pPr>
      <w:r>
        <w:rPr>
          <w:rFonts w:ascii="Mendl Sans Dusk Medium" w:hAnsi="Mendl Sans Dusk Medium"/>
          <w:b w:val="0"/>
          <w:color w:val="1E392C"/>
          <w:sz w:val="23"/>
        </w:rPr>
        <w:t>34.1 Required metadata</w:t>
      </w:r>
    </w:p>
    <w:p>
      <w:r>
        <w:rPr>
          <w:rFonts w:ascii="Mendl Sans Dusk Regular" w:hAnsi="Mendl Sans Dusk Regular"/>
          <w:b w:val="0"/>
          <w:color w:val="202723"/>
          <w:sz w:val="21"/>
        </w:rPr>
        <w:t>Every controlled document shall show:</w:t>
      </w:r>
    </w:p>
    <w:p>
      <w:pPr>
        <w:pStyle w:val="ListBullet"/>
        <w:spacing w:after="80" w:line="276" w:lineRule="auto"/>
        <w:ind w:left="461" w:hanging="259"/>
      </w:pPr>
      <w:r>
        <w:rPr>
          <w:rFonts w:ascii="Mendl Sans Dusk Regular" w:hAnsi="Mendl Sans Dusk Regular"/>
          <w:b w:val="0"/>
          <w:color w:val="202723"/>
          <w:sz w:val="21"/>
        </w:rPr>
        <w:t>document ID and title;</w:t>
      </w:r>
    </w:p>
    <w:p>
      <w:pPr>
        <w:pStyle w:val="ListBullet"/>
        <w:spacing w:after="80" w:line="276" w:lineRule="auto"/>
        <w:ind w:left="461" w:hanging="259"/>
      </w:pPr>
      <w:r>
        <w:rPr>
          <w:rFonts w:ascii="Mendl Sans Dusk Regular" w:hAnsi="Mendl Sans Dusk Regular"/>
          <w:b w:val="0"/>
          <w:color w:val="202723"/>
          <w:sz w:val="21"/>
        </w:rPr>
        <w:t>owner and approver;</w:t>
      </w:r>
    </w:p>
    <w:p>
      <w:pPr>
        <w:pStyle w:val="ListBullet"/>
        <w:spacing w:after="80" w:line="276" w:lineRule="auto"/>
        <w:ind w:left="461" w:hanging="259"/>
      </w:pPr>
      <w:r>
        <w:rPr>
          <w:rFonts w:ascii="Mendl Sans Dusk Regular" w:hAnsi="Mendl Sans Dusk Regular"/>
          <w:b w:val="0"/>
          <w:color w:val="202723"/>
          <w:sz w:val="21"/>
        </w:rPr>
        <w:t>version and effective date;</w:t>
      </w:r>
    </w:p>
    <w:p>
      <w:pPr>
        <w:pStyle w:val="ListBullet"/>
        <w:spacing w:after="80" w:line="276" w:lineRule="auto"/>
        <w:ind w:left="461" w:hanging="259"/>
      </w:pPr>
      <w:r>
        <w:rPr>
          <w:rFonts w:ascii="Mendl Sans Dusk Regular" w:hAnsi="Mendl Sans Dusk Regular"/>
          <w:b w:val="0"/>
          <w:color w:val="202723"/>
          <w:sz w:val="21"/>
        </w:rPr>
        <w:t>status;</w:t>
      </w:r>
    </w:p>
    <w:p>
      <w:pPr>
        <w:pStyle w:val="ListBullet"/>
        <w:spacing w:after="80" w:line="276" w:lineRule="auto"/>
        <w:ind w:left="461" w:hanging="259"/>
      </w:pPr>
      <w:r>
        <w:rPr>
          <w:rFonts w:ascii="Mendl Sans Dusk Regular" w:hAnsi="Mendl Sans Dusk Regular"/>
          <w:b w:val="0"/>
          <w:color w:val="202723"/>
          <w:sz w:val="21"/>
        </w:rPr>
        <w:t>applicable audience/jurisdiction;</w:t>
      </w:r>
    </w:p>
    <w:p>
      <w:pPr>
        <w:pStyle w:val="ListBullet"/>
        <w:spacing w:after="80" w:line="276" w:lineRule="auto"/>
        <w:ind w:left="461" w:hanging="259"/>
      </w:pPr>
      <w:r>
        <w:rPr>
          <w:rFonts w:ascii="Mendl Sans Dusk Regular" w:hAnsi="Mendl Sans Dusk Regular"/>
          <w:b w:val="0"/>
          <w:color w:val="202723"/>
          <w:sz w:val="21"/>
        </w:rPr>
        <w:t>next review date;</w:t>
      </w:r>
    </w:p>
    <w:p>
      <w:pPr>
        <w:pStyle w:val="ListBullet"/>
        <w:spacing w:after="80" w:line="276" w:lineRule="auto"/>
        <w:ind w:left="461" w:hanging="259"/>
      </w:pPr>
      <w:r>
        <w:rPr>
          <w:rFonts w:ascii="Mendl Sans Dusk Regular" w:hAnsi="Mendl Sans Dusk Regular"/>
          <w:b w:val="0"/>
          <w:color w:val="202723"/>
          <w:sz w:val="21"/>
        </w:rPr>
        <w:t>revision summary;</w:t>
      </w:r>
    </w:p>
    <w:p>
      <w:pPr>
        <w:pStyle w:val="ListBullet"/>
        <w:spacing w:after="80" w:line="276" w:lineRule="auto"/>
        <w:ind w:left="461" w:hanging="259"/>
      </w:pPr>
      <w:r>
        <w:rPr>
          <w:rFonts w:ascii="Mendl Sans Dusk Regular" w:hAnsi="Mendl Sans Dusk Regular"/>
          <w:b w:val="0"/>
          <w:color w:val="202723"/>
          <w:sz w:val="21"/>
        </w:rPr>
        <w:t>superseded reference;</w:t>
      </w:r>
    </w:p>
    <w:p>
      <w:pPr>
        <w:pStyle w:val="ListBullet"/>
        <w:spacing w:after="80" w:line="276" w:lineRule="auto"/>
        <w:ind w:left="461" w:hanging="259"/>
      </w:pPr>
      <w:r>
        <w:rPr>
          <w:rFonts w:ascii="Mendl Sans Dusk Regular" w:hAnsi="Mendl Sans Dusk Regular"/>
          <w:b w:val="0"/>
          <w:color w:val="202723"/>
          <w:sz w:val="21"/>
        </w:rPr>
        <w:t>source location.</w:t>
      </w:r>
    </w:p>
    <w:p>
      <w:pPr>
        <w:pStyle w:val="Heading3"/>
      </w:pPr>
      <w:r>
        <w:rPr>
          <w:rFonts w:ascii="Mendl Sans Dusk Medium" w:hAnsi="Mendl Sans Dusk Medium"/>
          <w:b w:val="0"/>
          <w:color w:val="1E392C"/>
          <w:sz w:val="23"/>
        </w:rPr>
        <w:t>34.2 Status model</w:t>
      </w:r>
    </w:p>
    <w:p>
      <w:pPr>
        <w:pStyle w:val="ListBullet"/>
        <w:spacing w:after="80" w:line="276" w:lineRule="auto"/>
        <w:ind w:left="461" w:hanging="259"/>
      </w:pPr>
      <w:r>
        <w:rPr>
          <w:rFonts w:ascii="Mendl Sans Dusk Bold" w:hAnsi="Mendl Sans Dusk Bold"/>
          <w:b/>
          <w:color w:val="202723"/>
          <w:sz w:val="21"/>
        </w:rPr>
        <w:t>Draft:</w:t>
      </w:r>
      <w:r>
        <w:rPr>
          <w:rFonts w:ascii="Mendl Sans Dusk Regular" w:hAnsi="Mendl Sans Dusk Regular"/>
          <w:b w:val="0"/>
          <w:color w:val="202723"/>
          <w:sz w:val="21"/>
        </w:rPr>
        <w:t xml:space="preserve"> Work in progress; not for use as instruction.</w:t>
      </w:r>
    </w:p>
    <w:p>
      <w:pPr>
        <w:pStyle w:val="ListBullet"/>
        <w:spacing w:after="80" w:line="276" w:lineRule="auto"/>
        <w:ind w:left="461" w:hanging="259"/>
      </w:pPr>
      <w:r>
        <w:rPr>
          <w:rFonts w:ascii="Mendl Sans Dusk Bold" w:hAnsi="Mendl Sans Dusk Bold"/>
          <w:b/>
          <w:color w:val="202723"/>
          <w:sz w:val="21"/>
        </w:rPr>
        <w:t>Under Review:</w:t>
      </w:r>
      <w:r>
        <w:rPr>
          <w:rFonts w:ascii="Mendl Sans Dusk Regular" w:hAnsi="Mendl Sans Dusk Regular"/>
          <w:b w:val="0"/>
          <w:color w:val="202723"/>
          <w:sz w:val="21"/>
        </w:rPr>
        <w:t xml:space="preserve"> Circulating for approval; not for field use unless specifically authorized.</w:t>
      </w:r>
    </w:p>
    <w:p>
      <w:pPr>
        <w:pStyle w:val="ListBullet"/>
        <w:spacing w:after="80" w:line="276" w:lineRule="auto"/>
        <w:ind w:left="461" w:hanging="259"/>
      </w:pPr>
      <w:r>
        <w:rPr>
          <w:rFonts w:ascii="Mendl Sans Dusk Bold" w:hAnsi="Mendl Sans Dusk Bold"/>
          <w:b/>
          <w:color w:val="202723"/>
          <w:sz w:val="21"/>
        </w:rPr>
        <w:t>Approved:</w:t>
      </w:r>
      <w:r>
        <w:rPr>
          <w:rFonts w:ascii="Mendl Sans Dusk Regular" w:hAnsi="Mendl Sans Dusk Regular"/>
          <w:b w:val="0"/>
          <w:color w:val="202723"/>
          <w:sz w:val="21"/>
        </w:rPr>
        <w:t xml:space="preserve"> Current controlled version.</w:t>
      </w:r>
    </w:p>
    <w:p>
      <w:pPr>
        <w:pStyle w:val="ListBullet"/>
        <w:spacing w:after="80" w:line="276" w:lineRule="auto"/>
        <w:ind w:left="461" w:hanging="259"/>
      </w:pPr>
      <w:r>
        <w:rPr>
          <w:rFonts w:ascii="Mendl Sans Dusk Bold" w:hAnsi="Mendl Sans Dusk Bold"/>
          <w:b/>
          <w:color w:val="202723"/>
          <w:sz w:val="21"/>
        </w:rPr>
        <w:t>Superseded:</w:t>
      </w:r>
      <w:r>
        <w:rPr>
          <w:rFonts w:ascii="Mendl Sans Dusk Regular" w:hAnsi="Mendl Sans Dusk Regular"/>
          <w:b w:val="0"/>
          <w:color w:val="202723"/>
          <w:sz w:val="21"/>
        </w:rPr>
        <w:t xml:space="preserve"> Replaced and removed from points of use.</w:t>
      </w:r>
    </w:p>
    <w:p>
      <w:pPr>
        <w:pStyle w:val="ListBullet"/>
        <w:spacing w:after="80" w:line="276" w:lineRule="auto"/>
        <w:ind w:left="461" w:hanging="259"/>
      </w:pPr>
      <w:r>
        <w:rPr>
          <w:rFonts w:ascii="Mendl Sans Dusk Bold" w:hAnsi="Mendl Sans Dusk Bold"/>
          <w:b/>
          <w:color w:val="202723"/>
          <w:sz w:val="21"/>
        </w:rPr>
        <w:t>Archived:</w:t>
      </w:r>
      <w:r>
        <w:rPr>
          <w:rFonts w:ascii="Mendl Sans Dusk Regular" w:hAnsi="Mendl Sans Dusk Regular"/>
          <w:b w:val="0"/>
          <w:color w:val="202723"/>
          <w:sz w:val="21"/>
        </w:rPr>
        <w:t xml:space="preserve"> Retained as history or record; not active.</w:t>
      </w:r>
    </w:p>
    <w:p>
      <w:pPr>
        <w:pStyle w:val="Heading3"/>
      </w:pPr>
      <w:r>
        <w:rPr>
          <w:rFonts w:ascii="Mendl Sans Dusk Medium" w:hAnsi="Mendl Sans Dusk Medium"/>
          <w:b w:val="0"/>
          <w:color w:val="1E392C"/>
          <w:sz w:val="23"/>
        </w:rPr>
        <w:t>34.3 Revision workflow</w:t>
      </w:r>
    </w:p>
    <w:p>
      <w:pPr>
        <w:pStyle w:val="ListNumber"/>
        <w:spacing w:after="80" w:line="276" w:lineRule="auto"/>
        <w:ind w:left="461" w:hanging="259"/>
      </w:pPr>
      <w:r>
        <w:rPr>
          <w:rFonts w:ascii="Mendl Sans Dusk Regular" w:hAnsi="Mendl Sans Dusk Regular"/>
          <w:b w:val="0"/>
          <w:color w:val="202723"/>
          <w:sz w:val="21"/>
        </w:rPr>
        <w:t>Change request logged with reason and owner.</w:t>
      </w:r>
    </w:p>
    <w:p>
      <w:pPr>
        <w:pStyle w:val="ListNumber"/>
        <w:spacing w:after="80" w:line="276" w:lineRule="auto"/>
        <w:ind w:left="461" w:hanging="259"/>
      </w:pPr>
      <w:r>
        <w:rPr>
          <w:rFonts w:ascii="Mendl Sans Dusk Regular" w:hAnsi="Mendl Sans Dusk Regular"/>
          <w:b w:val="0"/>
          <w:color w:val="202723"/>
          <w:sz w:val="21"/>
        </w:rPr>
        <w:t>Impact review covers linked procedures, forms, training, systems, contracts and jurisdictions.</w:t>
      </w:r>
    </w:p>
    <w:p>
      <w:pPr>
        <w:pStyle w:val="ListNumber"/>
        <w:spacing w:after="80" w:line="276" w:lineRule="auto"/>
        <w:ind w:left="461" w:hanging="259"/>
      </w:pPr>
      <w:r>
        <w:rPr>
          <w:rFonts w:ascii="Mendl Sans Dusk Regular" w:hAnsi="Mendl Sans Dusk Regular"/>
          <w:b w:val="0"/>
          <w:color w:val="202723"/>
          <w:sz w:val="21"/>
        </w:rPr>
        <w:t>Technical, legal, HR, safety or IT review occurs as applicable.</w:t>
      </w:r>
    </w:p>
    <w:p>
      <w:pPr>
        <w:pStyle w:val="ListNumber"/>
        <w:spacing w:after="80" w:line="276" w:lineRule="auto"/>
        <w:ind w:left="461" w:hanging="259"/>
      </w:pPr>
      <w:r>
        <w:rPr>
          <w:rFonts w:ascii="Mendl Sans Dusk Regular" w:hAnsi="Mendl Sans Dusk Regular"/>
          <w:b w:val="0"/>
          <w:color w:val="202723"/>
          <w:sz w:val="21"/>
        </w:rPr>
        <w:t>Authorized approval is recorded.</w:t>
      </w:r>
    </w:p>
    <w:p>
      <w:pPr>
        <w:pStyle w:val="ListNumber"/>
        <w:spacing w:after="80" w:line="276" w:lineRule="auto"/>
        <w:ind w:left="461" w:hanging="259"/>
      </w:pPr>
      <w:r>
        <w:rPr>
          <w:rFonts w:ascii="Mendl Sans Dusk Regular" w:hAnsi="Mendl Sans Dusk Regular"/>
          <w:b w:val="0"/>
          <w:color w:val="202723"/>
          <w:sz w:val="21"/>
        </w:rPr>
        <w:t>Version, effective date and revision summary are updated.</w:t>
      </w:r>
    </w:p>
    <w:p>
      <w:pPr>
        <w:pStyle w:val="ListNumber"/>
        <w:spacing w:after="80" w:line="276" w:lineRule="auto"/>
        <w:ind w:left="461" w:hanging="259"/>
      </w:pPr>
      <w:r>
        <w:rPr>
          <w:rFonts w:ascii="Mendl Sans Dusk Regular" w:hAnsi="Mendl Sans Dusk Regular"/>
          <w:b w:val="0"/>
          <w:color w:val="202723"/>
          <w:sz w:val="21"/>
        </w:rPr>
        <w:t>Approved source is published and obsolete copies removed.</w:t>
      </w:r>
    </w:p>
    <w:p>
      <w:pPr>
        <w:pStyle w:val="ListNumber"/>
        <w:spacing w:after="80" w:line="276" w:lineRule="auto"/>
        <w:ind w:left="461" w:hanging="259"/>
      </w:pPr>
      <w:r>
        <w:rPr>
          <w:rFonts w:ascii="Mendl Sans Dusk Regular" w:hAnsi="Mendl Sans Dusk Regular"/>
          <w:b w:val="0"/>
          <w:color w:val="202723"/>
          <w:sz w:val="21"/>
        </w:rPr>
        <w:t>Affected users are trained or notified.</w:t>
      </w:r>
    </w:p>
    <w:p>
      <w:pPr>
        <w:pStyle w:val="ListNumber"/>
        <w:spacing w:after="80" w:line="276" w:lineRule="auto"/>
        <w:ind w:left="461" w:hanging="259"/>
      </w:pPr>
      <w:r>
        <w:rPr>
          <w:rFonts w:ascii="Mendl Sans Dusk Regular" w:hAnsi="Mendl Sans Dusk Regular"/>
          <w:b w:val="0"/>
          <w:color w:val="202723"/>
          <w:sz w:val="21"/>
        </w:rPr>
        <w:t>Implementation is verified.</w:t>
      </w:r>
    </w:p>
    <w:p>
      <w:r>
        <w:rPr>
          <w:rFonts w:ascii="Mendl Sans Dusk Regular" w:hAnsi="Mendl Sans Dusk Regular"/>
          <w:b w:val="0"/>
          <w:color w:val="202723"/>
          <w:sz w:val="21"/>
        </w:rPr>
        <w:t>Filename changes alone do not constitute revision control.</w:t>
      </w:r>
    </w:p>
    <w:p>
      <w:pPr>
        <w:pStyle w:val="Heading2"/>
      </w:pPr>
      <w:r>
        <w:rPr>
          <w:rFonts w:ascii="Mendl Sans Dusk Medium" w:hAnsi="Mendl Sans Dusk Medium"/>
          <w:b w:val="0"/>
          <w:color w:val="628F79"/>
          <w:sz w:val="26"/>
        </w:rPr>
        <w:t>35. Records and retention</w:t>
      </w:r>
    </w:p>
    <w:p>
      <w:r>
        <w:rPr>
          <w:rFonts w:ascii="Mendl Sans Dusk Regular" w:hAnsi="Mendl Sans Dusk Regular"/>
          <w:b w:val="0"/>
          <w:color w:val="202723"/>
          <w:sz w:val="21"/>
        </w:rPr>
        <w:t>Records shall be complete, legible, attributable, timely and protected. The retention schedule shall be approved by business, legal, HR, safety, finance and IT owners and account for law, contracts, statutes of limitation, claims, tax, insurance and business need.</w:t>
      </w:r>
    </w:p>
    <w:p>
      <w:r>
        <w:rPr>
          <w:rFonts w:ascii="Mendl Sans Dusk Regular" w:hAnsi="Mendl Sans Dusk Regular"/>
          <w:b w:val="0"/>
          <w:color w:val="202723"/>
          <w:sz w:val="21"/>
        </w:rPr>
        <w:t>Legal hold suspends normal deletion. Disposal is authorized, documented and secure. Employee medical and exposure records, payroll, safety, project and corporate records may have different requirements and shall not be assigned one universal retention period without review.</w:t>
      </w:r>
    </w:p>
    <w:p>
      <w:pPr>
        <w:pStyle w:val="Heading2"/>
      </w:pPr>
      <w:r>
        <w:rPr>
          <w:rFonts w:ascii="Mendl Sans Dusk Medium" w:hAnsi="Mendl Sans Dusk Medium"/>
          <w:b w:val="0"/>
          <w:color w:val="628F79"/>
          <w:sz w:val="26"/>
        </w:rPr>
        <w:t>36. Audit, corrective action and management review</w:t>
      </w:r>
    </w:p>
    <w:p>
      <w:r>
        <w:rPr>
          <w:rFonts w:ascii="Mendl Sans Dusk Regular" w:hAnsi="Mendl Sans Dusk Regular"/>
          <w:b w:val="0"/>
          <w:color w:val="202723"/>
          <w:sz w:val="21"/>
        </w:rPr>
        <w:t>Internal audits test both document conformity and real execution. Audit evidence is sampled from systems and field records. Findings are classified by risk and assigned an owner and due date.</w:t>
      </w:r>
    </w:p>
    <w:p>
      <w:r>
        <w:rPr>
          <w:rFonts w:ascii="Mendl Sans Dusk Regular" w:hAnsi="Mendl Sans Dusk Regular"/>
          <w:b w:val="0"/>
          <w:color w:val="202723"/>
          <w:sz w:val="21"/>
        </w:rPr>
        <w:t>Corrective actions require:</w:t>
      </w:r>
    </w:p>
    <w:p>
      <w:pPr>
        <w:pStyle w:val="ListBullet"/>
        <w:spacing w:after="80" w:line="276" w:lineRule="auto"/>
        <w:ind w:left="461" w:hanging="259"/>
      </w:pPr>
      <w:r>
        <w:rPr>
          <w:rFonts w:ascii="Mendl Sans Dusk Regular" w:hAnsi="Mendl Sans Dusk Regular"/>
          <w:b w:val="0"/>
          <w:color w:val="202723"/>
          <w:sz w:val="21"/>
        </w:rPr>
        <w:t>clear problem statement and containment;</w:t>
      </w:r>
    </w:p>
    <w:p>
      <w:pPr>
        <w:pStyle w:val="ListBullet"/>
        <w:spacing w:after="80" w:line="276" w:lineRule="auto"/>
        <w:ind w:left="461" w:hanging="259"/>
      </w:pPr>
      <w:r>
        <w:rPr>
          <w:rFonts w:ascii="Mendl Sans Dusk Regular" w:hAnsi="Mendl Sans Dusk Regular"/>
          <w:b w:val="0"/>
          <w:color w:val="202723"/>
          <w:sz w:val="21"/>
        </w:rPr>
        <w:t>cause analysis proportionate to severity;</w:t>
      </w:r>
    </w:p>
    <w:p>
      <w:pPr>
        <w:pStyle w:val="ListBullet"/>
        <w:spacing w:after="80" w:line="276" w:lineRule="auto"/>
        <w:ind w:left="461" w:hanging="259"/>
      </w:pPr>
      <w:r>
        <w:rPr>
          <w:rFonts w:ascii="Mendl Sans Dusk Regular" w:hAnsi="Mendl Sans Dusk Regular"/>
          <w:b w:val="0"/>
          <w:color w:val="202723"/>
          <w:sz w:val="21"/>
        </w:rPr>
        <w:t>corrective action and responsible owner;</w:t>
      </w:r>
    </w:p>
    <w:p>
      <w:pPr>
        <w:pStyle w:val="ListBullet"/>
        <w:spacing w:after="80" w:line="276" w:lineRule="auto"/>
        <w:ind w:left="461" w:hanging="259"/>
      </w:pPr>
      <w:r>
        <w:rPr>
          <w:rFonts w:ascii="Mendl Sans Dusk Regular" w:hAnsi="Mendl Sans Dusk Regular"/>
          <w:b w:val="0"/>
          <w:color w:val="202723"/>
          <w:sz w:val="21"/>
        </w:rPr>
        <w:t>completion evidence;</w:t>
      </w:r>
    </w:p>
    <w:p>
      <w:pPr>
        <w:pStyle w:val="ListBullet"/>
        <w:spacing w:after="80" w:line="276" w:lineRule="auto"/>
        <w:ind w:left="461" w:hanging="259"/>
      </w:pPr>
      <w:r>
        <w:rPr>
          <w:rFonts w:ascii="Mendl Sans Dusk Regular" w:hAnsi="Mendl Sans Dusk Regular"/>
          <w:b w:val="0"/>
          <w:color w:val="202723"/>
          <w:sz w:val="21"/>
        </w:rPr>
        <w:t>effectiveness verification;</w:t>
      </w:r>
    </w:p>
    <w:p>
      <w:pPr>
        <w:pStyle w:val="ListBullet"/>
        <w:spacing w:after="80" w:line="276" w:lineRule="auto"/>
        <w:ind w:left="461" w:hanging="259"/>
      </w:pPr>
      <w:r>
        <w:rPr>
          <w:rFonts w:ascii="Mendl Sans Dusk Regular" w:hAnsi="Mendl Sans Dusk Regular"/>
          <w:b w:val="0"/>
          <w:color w:val="202723"/>
          <w:sz w:val="21"/>
        </w:rPr>
        <w:t>systemic update when other projects/processes are exposed.</w:t>
      </w:r>
    </w:p>
    <w:p>
      <w:r>
        <w:rPr>
          <w:rFonts w:ascii="Mendl Sans Dusk Regular" w:hAnsi="Mendl Sans Dusk Regular"/>
          <w:b w:val="0"/>
          <w:color w:val="202723"/>
          <w:sz w:val="21"/>
        </w:rPr>
        <w:t>Annual management review considers audit results, objectives, incidents, claims, client feedback, project outcomes, financial trends, workforce, technology, regulatory change, resources and improvement priorities.</w:t>
      </w:r>
    </w:p>
    <w:p>
      <w:pPr>
        <w:pStyle w:val="Heading2"/>
      </w:pPr>
      <w:r>
        <w:rPr>
          <w:rFonts w:ascii="Mendl Sans Dusk Medium" w:hAnsi="Mendl Sans Dusk Medium"/>
          <w:b w:val="0"/>
          <w:color w:val="628F79"/>
          <w:sz w:val="26"/>
        </w:rPr>
        <w:t>37. Key performance indicators</w:t>
      </w:r>
    </w:p>
    <w:p>
      <w:r>
        <w:rPr>
          <w:rFonts w:ascii="Mendl Sans Dusk Regular" w:hAnsi="Mendl Sans Dusk Regular"/>
          <w:b w:val="0"/>
          <w:color w:val="202723"/>
          <w:sz w:val="21"/>
        </w:rPr>
        <w:t>KPIs support decisions; they are not substitutes for judgment. Definitions, source systems, frequency and owners shall be documented.</w:t>
      </w:r>
    </w:p>
    <w:tbl>
      <w:tblPr>
        <w:tblStyle w:val="TableGrid"/>
        <w:tblW w:type="auto" w:w="0"/>
        <w:jc w:val="left"/>
        <w:tblLayout w:type="fixed"/>
        <w:tblLook w:firstColumn="1" w:firstRow="1" w:lastColumn="0" w:lastRow="0" w:noHBand="0" w:noVBand="1" w:val="04A0"/>
      </w:tblPr>
      <w:tblGrid>
        <w:gridCol w:w="4939"/>
        <w:gridCol w:w="4939"/>
      </w:tblGrid>
      <w:tr>
        <w:tc>
          <w:tcPr>
            <w:tcW w:type="dxa" w:w="2496"/>
            <w:vAlign w:val="center"/>
            <w:tcMar>
              <w:top w:w="80" w:type="dxa"/>
              <w:start w:w="120" w:type="dxa"/>
              <w:bottom w:w="80" w:type="dxa"/>
              <w:end w:w="120" w:type="dxa"/>
            </w:tcMar>
            <w:shd w:fill="386851"/>
          </w:tcPr>
          <w:p>
            <w:pPr>
              <w:spacing w:after="0"/>
            </w:pPr>
            <w:r>
              <w:rPr>
                <w:rFonts w:ascii="Mendl Sans Dusk Bold" w:hAnsi="Mendl Sans Dusk Bold"/>
                <w:b/>
                <w:color w:val="FFFFFF"/>
                <w:sz w:val="16"/>
              </w:rPr>
              <w:t>Domain</w:t>
            </w:r>
          </w:p>
        </w:tc>
        <w:tc>
          <w:tcPr>
            <w:tcW w:type="dxa" w:w="6864"/>
            <w:vAlign w:val="center"/>
            <w:tcMar>
              <w:top w:w="80" w:type="dxa"/>
              <w:start w:w="120" w:type="dxa"/>
              <w:bottom w:w="80" w:type="dxa"/>
              <w:end w:w="120" w:type="dxa"/>
            </w:tcMar>
            <w:shd w:fill="386851"/>
          </w:tcPr>
          <w:p>
            <w:pPr>
              <w:spacing w:after="0"/>
            </w:pPr>
            <w:r>
              <w:rPr>
                <w:rFonts w:ascii="Mendl Sans Dusk Bold" w:hAnsi="Mendl Sans Dusk Bold"/>
                <w:b/>
                <w:color w:val="FFFFFF"/>
                <w:sz w:val="16"/>
              </w:rPr>
              <w:t>Core indicators</w:t>
            </w:r>
          </w:p>
        </w:tc>
      </w:tr>
      <w:tr>
        <w:tc>
          <w:tcPr>
            <w:tcW w:type="dxa" w:w="2496"/>
            <w:vAlign w:val="center"/>
            <w:tcMar>
              <w:top w:w="80" w:type="dxa"/>
              <w:start w:w="120" w:type="dxa"/>
              <w:bottom w:w="80" w:type="dxa"/>
              <w:end w:w="120" w:type="dxa"/>
            </w:tcMar>
          </w:tcPr>
          <w:p>
            <w:pPr>
              <w:spacing w:after="0"/>
            </w:pPr>
            <w:r>
              <w:rPr>
                <w:rFonts w:ascii="Mendl Sans Dusk Regular" w:hAnsi="Mendl Sans Dusk Regular"/>
                <w:b w:val="0"/>
                <w:color w:val="202723"/>
                <w:sz w:val="16"/>
              </w:rPr>
              <w:t>Safety</w:t>
            </w:r>
          </w:p>
        </w:tc>
        <w:tc>
          <w:tcPr>
            <w:tcW w:type="dxa" w:w="6864"/>
            <w:vAlign w:val="center"/>
            <w:tcMar>
              <w:top w:w="80" w:type="dxa"/>
              <w:start w:w="120" w:type="dxa"/>
              <w:bottom w:w="80" w:type="dxa"/>
              <w:end w:w="120" w:type="dxa"/>
            </w:tcMar>
          </w:tcPr>
          <w:p>
            <w:pPr>
              <w:spacing w:after="0"/>
            </w:pPr>
            <w:r>
              <w:rPr>
                <w:rFonts w:ascii="Mendl Sans Dusk Regular" w:hAnsi="Mendl Sans Dusk Regular"/>
                <w:b w:val="0"/>
                <w:color w:val="202723"/>
                <w:sz w:val="16"/>
              </w:rPr>
              <w:t>Leading-action completion, high-potential events, corrective-action aging, training/inspection completion, incident rates where meaningful.</w:t>
            </w:r>
          </w:p>
        </w:tc>
      </w:tr>
      <w:tr>
        <w:tc>
          <w:tcPr>
            <w:tcW w:type="dxa" w:w="249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Quality</w:t>
            </w:r>
          </w:p>
        </w:tc>
        <w:tc>
          <w:tcPr>
            <w:tcW w:type="dxa" w:w="686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First-pass acceptance, NCR aging, rework cost, punch aging, warranty recurrence.</w:t>
            </w:r>
          </w:p>
        </w:tc>
      </w:tr>
      <w:tr>
        <w:tc>
          <w:tcPr>
            <w:tcW w:type="dxa" w:w="2496"/>
            <w:vAlign w:val="center"/>
            <w:tcMar>
              <w:top w:w="80" w:type="dxa"/>
              <w:start w:w="120" w:type="dxa"/>
              <w:bottom w:w="80" w:type="dxa"/>
              <w:end w:w="120" w:type="dxa"/>
            </w:tcMar>
          </w:tcPr>
          <w:p>
            <w:pPr>
              <w:spacing w:after="0"/>
            </w:pPr>
            <w:r>
              <w:rPr>
                <w:rFonts w:ascii="Mendl Sans Dusk Regular" w:hAnsi="Mendl Sans Dusk Regular"/>
                <w:b w:val="0"/>
                <w:color w:val="202723"/>
                <w:sz w:val="16"/>
              </w:rPr>
              <w:t>Schedule</w:t>
            </w:r>
          </w:p>
        </w:tc>
        <w:tc>
          <w:tcPr>
            <w:tcW w:type="dxa" w:w="6864"/>
            <w:vAlign w:val="center"/>
            <w:tcMar>
              <w:top w:w="80" w:type="dxa"/>
              <w:start w:w="120" w:type="dxa"/>
              <w:bottom w:w="80" w:type="dxa"/>
              <w:end w:w="120" w:type="dxa"/>
            </w:tcMar>
          </w:tcPr>
          <w:p>
            <w:pPr>
              <w:spacing w:after="0"/>
            </w:pPr>
            <w:r>
              <w:rPr>
                <w:rFonts w:ascii="Mendl Sans Dusk Regular" w:hAnsi="Mendl Sans Dusk Regular"/>
                <w:b w:val="0"/>
                <w:color w:val="202723"/>
                <w:sz w:val="16"/>
              </w:rPr>
              <w:t>Milestone reliability, lookahead plan percent complete, constraint aging, forecast variance.</w:t>
            </w:r>
          </w:p>
        </w:tc>
      </w:tr>
      <w:tr>
        <w:tc>
          <w:tcPr>
            <w:tcW w:type="dxa" w:w="249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Cost</w:t>
            </w:r>
          </w:p>
        </w:tc>
        <w:tc>
          <w:tcPr>
            <w:tcW w:type="dxa" w:w="686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Forecast margin movement, cost-to-complete accuracy, change aging, contingency use, cash exposure.</w:t>
            </w:r>
          </w:p>
        </w:tc>
      </w:tr>
      <w:tr>
        <w:tc>
          <w:tcPr>
            <w:tcW w:type="dxa" w:w="2496"/>
            <w:vAlign w:val="center"/>
            <w:tcMar>
              <w:top w:w="80" w:type="dxa"/>
              <w:start w:w="120" w:type="dxa"/>
              <w:bottom w:w="80" w:type="dxa"/>
              <w:end w:w="120" w:type="dxa"/>
            </w:tcMar>
          </w:tcPr>
          <w:p>
            <w:pPr>
              <w:spacing w:after="0"/>
            </w:pPr>
            <w:r>
              <w:rPr>
                <w:rFonts w:ascii="Mendl Sans Dusk Regular" w:hAnsi="Mendl Sans Dusk Regular"/>
                <w:b w:val="0"/>
                <w:color w:val="202723"/>
                <w:sz w:val="16"/>
              </w:rPr>
              <w:t>Client</w:t>
            </w:r>
          </w:p>
        </w:tc>
        <w:tc>
          <w:tcPr>
            <w:tcW w:type="dxa" w:w="6864"/>
            <w:vAlign w:val="center"/>
            <w:tcMar>
              <w:top w:w="80" w:type="dxa"/>
              <w:start w:w="120" w:type="dxa"/>
              <w:bottom w:w="80" w:type="dxa"/>
              <w:end w:w="120" w:type="dxa"/>
            </w:tcMar>
          </w:tcPr>
          <w:p>
            <w:pPr>
              <w:spacing w:after="0"/>
            </w:pPr>
            <w:r>
              <w:rPr>
                <w:rFonts w:ascii="Mendl Sans Dusk Regular" w:hAnsi="Mendl Sans Dusk Regular"/>
                <w:b w:val="0"/>
                <w:color w:val="202723"/>
                <w:sz w:val="16"/>
              </w:rPr>
              <w:t>Decision aging, issue closure, satisfaction, repeat work and references.</w:t>
            </w:r>
          </w:p>
        </w:tc>
      </w:tr>
      <w:tr>
        <w:tc>
          <w:tcPr>
            <w:tcW w:type="dxa" w:w="249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Business development</w:t>
            </w:r>
          </w:p>
        </w:tc>
        <w:tc>
          <w:tcPr>
            <w:tcW w:type="dxa" w:w="686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Qualified pipeline, hit rate, backlog quality, pursuit cost and loss reasons.</w:t>
            </w:r>
          </w:p>
        </w:tc>
      </w:tr>
      <w:tr>
        <w:tc>
          <w:tcPr>
            <w:tcW w:type="dxa" w:w="2496"/>
            <w:vAlign w:val="center"/>
            <w:tcMar>
              <w:top w:w="80" w:type="dxa"/>
              <w:start w:w="120" w:type="dxa"/>
              <w:bottom w:w="80" w:type="dxa"/>
              <w:end w:w="120" w:type="dxa"/>
            </w:tcMar>
          </w:tcPr>
          <w:p>
            <w:pPr>
              <w:spacing w:after="0"/>
            </w:pPr>
            <w:r>
              <w:rPr>
                <w:rFonts w:ascii="Mendl Sans Dusk Regular" w:hAnsi="Mendl Sans Dusk Regular"/>
                <w:b w:val="0"/>
                <w:color w:val="202723"/>
                <w:sz w:val="16"/>
              </w:rPr>
              <w:t>People</w:t>
            </w:r>
          </w:p>
        </w:tc>
        <w:tc>
          <w:tcPr>
            <w:tcW w:type="dxa" w:w="6864"/>
            <w:vAlign w:val="center"/>
            <w:tcMar>
              <w:top w:w="80" w:type="dxa"/>
              <w:start w:w="120" w:type="dxa"/>
              <w:bottom w:w="80" w:type="dxa"/>
              <w:end w:w="120" w:type="dxa"/>
            </w:tcMar>
          </w:tcPr>
          <w:p>
            <w:pPr>
              <w:spacing w:after="0"/>
            </w:pPr>
            <w:r>
              <w:rPr>
                <w:rFonts w:ascii="Mendl Sans Dusk Regular" w:hAnsi="Mendl Sans Dusk Regular"/>
                <w:b w:val="0"/>
                <w:color w:val="202723"/>
                <w:sz w:val="16"/>
              </w:rPr>
              <w:t>Vacancy/turnover, training compliance, development actions, short-service-worker support.</w:t>
            </w:r>
          </w:p>
        </w:tc>
      </w:tr>
      <w:tr>
        <w:tc>
          <w:tcPr>
            <w:tcW w:type="dxa" w:w="249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Equipment</w:t>
            </w:r>
          </w:p>
        </w:tc>
        <w:tc>
          <w:tcPr>
            <w:tcW w:type="dxa" w:w="686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Utilization, inspection compliance, downtime, maintenance backlog and damage.</w:t>
            </w:r>
          </w:p>
        </w:tc>
      </w:tr>
      <w:tr>
        <w:tc>
          <w:tcPr>
            <w:tcW w:type="dxa" w:w="2496"/>
            <w:vAlign w:val="center"/>
            <w:tcMar>
              <w:top w:w="80" w:type="dxa"/>
              <w:start w:w="120" w:type="dxa"/>
              <w:bottom w:w="80" w:type="dxa"/>
              <w:end w:w="120" w:type="dxa"/>
            </w:tcMar>
          </w:tcPr>
          <w:p>
            <w:pPr>
              <w:spacing w:after="0"/>
            </w:pPr>
            <w:r>
              <w:rPr>
                <w:rFonts w:ascii="Mendl Sans Dusk Regular" w:hAnsi="Mendl Sans Dusk Regular"/>
                <w:b w:val="0"/>
                <w:color w:val="202723"/>
                <w:sz w:val="16"/>
              </w:rPr>
              <w:t>IT</w:t>
            </w:r>
          </w:p>
        </w:tc>
        <w:tc>
          <w:tcPr>
            <w:tcW w:type="dxa" w:w="6864"/>
            <w:vAlign w:val="center"/>
            <w:tcMar>
              <w:top w:w="80" w:type="dxa"/>
              <w:start w:w="120" w:type="dxa"/>
              <w:bottom w:w="80" w:type="dxa"/>
              <w:end w:w="120" w:type="dxa"/>
            </w:tcMar>
          </w:tcPr>
          <w:p>
            <w:pPr>
              <w:spacing w:after="0"/>
            </w:pPr>
            <w:r>
              <w:rPr>
                <w:rFonts w:ascii="Mendl Sans Dusk Regular" w:hAnsi="Mendl Sans Dusk Regular"/>
                <w:b w:val="0"/>
                <w:color w:val="202723"/>
                <w:sz w:val="16"/>
              </w:rPr>
              <w:t>MFA/patch coverage, backup restore results, access-review findings, incident response.</w:t>
            </w:r>
          </w:p>
        </w:tc>
      </w:tr>
      <w:tr>
        <w:tc>
          <w:tcPr>
            <w:tcW w:type="dxa" w:w="249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Document control</w:t>
            </w:r>
          </w:p>
        </w:tc>
        <w:tc>
          <w:tcPr>
            <w:tcW w:type="dxa" w:w="6864"/>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Review compliance, obsolete-copy findings, unresolved change requests.</w:t>
            </w:r>
          </w:p>
        </w:tc>
      </w:tr>
    </w:tbl>
    <w:p>
      <w:pPr>
        <w:spacing w:after="20"/>
      </w:pPr>
    </w:p>
    <w:p>
      <w:pPr>
        <w:pStyle w:val="Heading1"/>
      </w:pPr>
      <w:r>
        <w:rPr>
          <w:rFonts w:ascii="Mendl Sans Dusk Bold" w:hAnsi="Mendl Sans Dusk Bold"/>
          <w:b/>
          <w:color w:val="386851"/>
          <w:sz w:val="32"/>
        </w:rPr>
        <w:t>Appendix A - Controlled document families</w:t>
      </w:r>
    </w:p>
    <w:p>
      <w:r>
        <w:rPr>
          <w:rFonts w:ascii="Mendl Sans Dusk Regular" w:hAnsi="Mendl Sans Dusk Regular"/>
          <w:b w:val="0"/>
          <w:color w:val="202723"/>
          <w:sz w:val="21"/>
        </w:rPr>
        <w:t>The initial controlled library should include the following families. Existing prefixes may be retained where practical.</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708"/>
            <w:vAlign w:val="center"/>
            <w:tcMar>
              <w:top w:w="80" w:type="dxa"/>
              <w:start w:w="120" w:type="dxa"/>
              <w:bottom w:w="80" w:type="dxa"/>
              <w:end w:w="120" w:type="dxa"/>
            </w:tcMar>
            <w:shd w:fill="386851"/>
          </w:tcPr>
          <w:p>
            <w:pPr>
              <w:spacing w:after="0"/>
            </w:pPr>
            <w:r>
              <w:rPr>
                <w:rFonts w:ascii="Mendl Sans Dusk Bold" w:hAnsi="Mendl Sans Dusk Bold"/>
                <w:b/>
                <w:color w:val="FFFFFF"/>
                <w:sz w:val="16"/>
              </w:rPr>
              <w:t>Family</w:t>
            </w:r>
          </w:p>
        </w:tc>
        <w:tc>
          <w:tcPr>
            <w:tcW w:type="dxa" w:w="4326"/>
            <w:vAlign w:val="center"/>
            <w:tcMar>
              <w:top w:w="80" w:type="dxa"/>
              <w:start w:w="120" w:type="dxa"/>
              <w:bottom w:w="80" w:type="dxa"/>
              <w:end w:w="120" w:type="dxa"/>
            </w:tcMar>
            <w:shd w:fill="386851"/>
          </w:tcPr>
          <w:p>
            <w:pPr>
              <w:spacing w:after="0"/>
            </w:pPr>
            <w:r>
              <w:rPr>
                <w:rFonts w:ascii="Mendl Sans Dusk Bold" w:hAnsi="Mendl Sans Dusk Bold"/>
                <w:b/>
                <w:color w:val="FFFFFF"/>
                <w:sz w:val="16"/>
              </w:rPr>
              <w:t>Purpose</w:t>
            </w:r>
          </w:p>
        </w:tc>
        <w:tc>
          <w:tcPr>
            <w:tcW w:type="dxa" w:w="4326"/>
            <w:vAlign w:val="center"/>
            <w:tcMar>
              <w:top w:w="80" w:type="dxa"/>
              <w:start w:w="120" w:type="dxa"/>
              <w:bottom w:w="80" w:type="dxa"/>
              <w:end w:w="120" w:type="dxa"/>
            </w:tcMar>
            <w:shd w:fill="386851"/>
          </w:tcPr>
          <w:p>
            <w:pPr>
              <w:spacing w:after="0"/>
            </w:pPr>
            <w:r>
              <w:rPr>
                <w:rFonts w:ascii="Mendl Sans Dusk Bold" w:hAnsi="Mendl Sans Dusk Bold"/>
                <w:b/>
                <w:color w:val="FFFFFF"/>
                <w:sz w:val="16"/>
              </w:rPr>
              <w:t>Current package status</w:t>
            </w:r>
          </w:p>
        </w:tc>
      </w:tr>
      <w:tr>
        <w:tc>
          <w:tcPr>
            <w:tcW w:type="dxa" w:w="708"/>
            <w:vAlign w:val="center"/>
            <w:tcMar>
              <w:top w:w="80" w:type="dxa"/>
              <w:start w:w="120" w:type="dxa"/>
              <w:bottom w:w="80" w:type="dxa"/>
              <w:end w:w="120" w:type="dxa"/>
            </w:tcMar>
          </w:tcPr>
          <w:p>
            <w:pPr>
              <w:spacing w:after="0"/>
            </w:pPr>
            <w:r>
              <w:rPr>
                <w:rFonts w:ascii="Mendl Sans Dusk Regular" w:hAnsi="Mendl Sans Dusk Regular"/>
                <w:b w:val="0"/>
                <w:color w:val="202723"/>
                <w:sz w:val="16"/>
              </w:rPr>
              <w:t>EMS/GOV</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Enterprise policy, governance, authority and document control</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New umbrella required.</w:t>
            </w:r>
          </w:p>
        </w:tc>
      </w:tr>
      <w:tr>
        <w:tc>
          <w:tcPr>
            <w:tcW w:type="dxa" w:w="70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EHB</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Employee Handbook and state addenda</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Named but not supplied.</w:t>
            </w:r>
          </w:p>
        </w:tc>
      </w:tr>
      <w:tr>
        <w:tc>
          <w:tcPr>
            <w:tcW w:type="dxa" w:w="708"/>
            <w:vAlign w:val="center"/>
            <w:tcMar>
              <w:top w:w="80" w:type="dxa"/>
              <w:start w:w="120" w:type="dxa"/>
              <w:bottom w:w="80" w:type="dxa"/>
              <w:end w:w="120" w:type="dxa"/>
            </w:tcMar>
          </w:tcPr>
          <w:p>
            <w:pPr>
              <w:spacing w:after="0"/>
            </w:pPr>
            <w:r>
              <w:rPr>
                <w:rFonts w:ascii="Mendl Sans Dusk Regular" w:hAnsi="Mendl Sans Dusk Regular"/>
                <w:b w:val="0"/>
                <w:color w:val="202723"/>
                <w:sz w:val="16"/>
              </w:rPr>
              <w:t>OPS</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Operations Manual</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Substantial; versions must be reconciled.</w:t>
            </w:r>
          </w:p>
        </w:tc>
      </w:tr>
      <w:tr>
        <w:tc>
          <w:tcPr>
            <w:tcW w:type="dxa" w:w="70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RM</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Enterprise risk, insurance, continuity and legal controls</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Early draft; expand and counsel-review.</w:t>
            </w:r>
          </w:p>
        </w:tc>
      </w:tr>
      <w:tr>
        <w:tc>
          <w:tcPr>
            <w:tcW w:type="dxa" w:w="708"/>
            <w:vAlign w:val="center"/>
            <w:tcMar>
              <w:top w:w="80" w:type="dxa"/>
              <w:start w:w="120" w:type="dxa"/>
              <w:bottom w:w="80" w:type="dxa"/>
              <w:end w:w="120" w:type="dxa"/>
            </w:tcMar>
          </w:tcPr>
          <w:p>
            <w:pPr>
              <w:spacing w:after="0"/>
            </w:pPr>
            <w:r>
              <w:rPr>
                <w:rFonts w:ascii="Mendl Sans Dusk Regular" w:hAnsi="Mendl Sans Dusk Regular"/>
                <w:b w:val="0"/>
                <w:color w:val="202723"/>
                <w:sz w:val="16"/>
              </w:rPr>
              <w:t>HR</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Workforce, competency and development</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Matrix exists; full procedures needed.</w:t>
            </w:r>
          </w:p>
        </w:tc>
      </w:tr>
      <w:tr>
        <w:tc>
          <w:tcPr>
            <w:tcW w:type="dxa" w:w="70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MG/BSG</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Marketing and brand</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Combined marketing/brand content is supplied in the strategy package; register its authority and decide whether to retain one combined guide or split MG and BSG.</w:t>
            </w:r>
          </w:p>
        </w:tc>
      </w:tr>
      <w:tr>
        <w:tc>
          <w:tcPr>
            <w:tcW w:type="dxa" w:w="708"/>
            <w:vAlign w:val="center"/>
            <w:tcMar>
              <w:top w:w="80" w:type="dxa"/>
              <w:start w:w="120" w:type="dxa"/>
              <w:bottom w:w="80" w:type="dxa"/>
              <w:end w:w="120" w:type="dxa"/>
            </w:tcMar>
          </w:tcPr>
          <w:p>
            <w:pPr>
              <w:spacing w:after="0"/>
            </w:pPr>
            <w:r>
              <w:rPr>
                <w:rFonts w:ascii="Mendl Sans Dusk Regular" w:hAnsi="Mendl Sans Dusk Regular"/>
                <w:b w:val="0"/>
                <w:color w:val="202723"/>
                <w:sz w:val="16"/>
              </w:rPr>
              <w:t>SE/BID</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Sales, estimating and bid controls</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Useful foundation; deepen estimate QA and contract interface.</w:t>
            </w:r>
          </w:p>
        </w:tc>
      </w:tr>
      <w:tr>
        <w:tc>
          <w:tcPr>
            <w:tcW w:type="dxa" w:w="70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PEP</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Project execution</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Early draft; convert to lifecycle stage gates.</w:t>
            </w:r>
          </w:p>
        </w:tc>
      </w:tr>
      <w:tr>
        <w:tc>
          <w:tcPr>
            <w:tcW w:type="dxa" w:w="708"/>
            <w:vAlign w:val="center"/>
            <w:tcMar>
              <w:top w:w="80" w:type="dxa"/>
              <w:start w:w="120" w:type="dxa"/>
              <w:bottom w:w="80" w:type="dxa"/>
              <w:end w:w="120" w:type="dxa"/>
            </w:tcMar>
          </w:tcPr>
          <w:p>
            <w:pPr>
              <w:spacing w:after="0"/>
            </w:pPr>
            <w:r>
              <w:rPr>
                <w:rFonts w:ascii="Mendl Sans Dusk Regular" w:hAnsi="Mendl Sans Dusk Regular"/>
                <w:b w:val="0"/>
                <w:color w:val="202723"/>
                <w:sz w:val="16"/>
              </w:rPr>
              <w:t>SUB/PROC</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Procurement and subcontractors</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Early draft; expand.</w:t>
            </w:r>
          </w:p>
        </w:tc>
      </w:tr>
      <w:tr>
        <w:tc>
          <w:tcPr>
            <w:tcW w:type="dxa" w:w="70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FIN</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Financial controls</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Early draft; expand WIP, cash, billing and fraud controls.</w:t>
            </w:r>
          </w:p>
        </w:tc>
      </w:tr>
      <w:tr>
        <w:tc>
          <w:tcPr>
            <w:tcW w:type="dxa" w:w="708"/>
            <w:vAlign w:val="center"/>
            <w:tcMar>
              <w:top w:w="80" w:type="dxa"/>
              <w:start w:w="120" w:type="dxa"/>
              <w:bottom w:w="80" w:type="dxa"/>
              <w:end w:w="120" w:type="dxa"/>
            </w:tcMar>
          </w:tcPr>
          <w:p>
            <w:pPr>
              <w:spacing w:after="0"/>
            </w:pPr>
            <w:r>
              <w:rPr>
                <w:rFonts w:ascii="Mendl Sans Dusk Regular" w:hAnsi="Mendl Sans Dusk Regular"/>
                <w:b w:val="0"/>
                <w:color w:val="202723"/>
                <w:sz w:val="16"/>
              </w:rPr>
              <w:t>QMP</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Quality management</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Present but too brief; add project ITP/NCR/CAPA.</w:t>
            </w:r>
          </w:p>
        </w:tc>
      </w:tr>
      <w:tr>
        <w:tc>
          <w:tcPr>
            <w:tcW w:type="dxa" w:w="70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MISH</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Safety and health</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Broad; validate and add jurisdiction modules.</w:t>
            </w:r>
          </w:p>
        </w:tc>
      </w:tr>
      <w:tr>
        <w:tc>
          <w:tcPr>
            <w:tcW w:type="dxa" w:w="708"/>
            <w:vAlign w:val="center"/>
            <w:tcMar>
              <w:top w:w="80" w:type="dxa"/>
              <w:start w:w="120" w:type="dxa"/>
              <w:bottom w:w="80" w:type="dxa"/>
              <w:end w:w="120" w:type="dxa"/>
            </w:tcMar>
          </w:tcPr>
          <w:p>
            <w:pPr>
              <w:spacing w:after="0"/>
            </w:pPr>
            <w:r>
              <w:rPr>
                <w:rFonts w:ascii="Mendl Sans Dusk Regular" w:hAnsi="Mendl Sans Dusk Regular"/>
                <w:b w:val="0"/>
                <w:color w:val="202723"/>
                <w:sz w:val="16"/>
              </w:rPr>
              <w:t>ERP/BCP</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Project emergency response and enterprise continuity</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ERP exists; enterprise continuity requires expansion.</w:t>
            </w:r>
          </w:p>
        </w:tc>
      </w:tr>
      <w:tr>
        <w:tc>
          <w:tcPr>
            <w:tcW w:type="dxa" w:w="70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EOM/FLEET</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Equipment, fleet, operator and maintenance controls</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Foundations exist; reconcile overlaps.</w:t>
            </w:r>
          </w:p>
        </w:tc>
      </w:tr>
      <w:tr>
        <w:tc>
          <w:tcPr>
            <w:tcW w:type="dxa" w:w="708"/>
            <w:vAlign w:val="center"/>
            <w:tcMar>
              <w:top w:w="80" w:type="dxa"/>
              <w:start w:w="120" w:type="dxa"/>
              <w:bottom w:w="80" w:type="dxa"/>
              <w:end w:w="120" w:type="dxa"/>
            </w:tcMar>
          </w:tcPr>
          <w:p>
            <w:pPr>
              <w:spacing w:after="0"/>
            </w:pPr>
            <w:r>
              <w:rPr>
                <w:rFonts w:ascii="Mendl Sans Dusk Regular" w:hAnsi="Mendl Sans Dusk Regular"/>
                <w:b w:val="0"/>
                <w:color w:val="202723"/>
                <w:sz w:val="16"/>
              </w:rPr>
              <w:t>WMG</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Warehouse, tools and materials</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Foundation exists; integrate chemical receipt.</w:t>
            </w:r>
          </w:p>
        </w:tc>
      </w:tr>
      <w:tr>
        <w:tc>
          <w:tcPr>
            <w:tcW w:type="dxa" w:w="70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TBT</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Toolbox talks and field learning</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82 modules; renumber, review and expand.</w:t>
            </w:r>
          </w:p>
        </w:tc>
      </w:tr>
      <w:tr>
        <w:tc>
          <w:tcPr>
            <w:tcW w:type="dxa" w:w="708"/>
            <w:vAlign w:val="center"/>
            <w:tcMar>
              <w:top w:w="80" w:type="dxa"/>
              <w:start w:w="120" w:type="dxa"/>
              <w:bottom w:w="80" w:type="dxa"/>
              <w:end w:w="120" w:type="dxa"/>
            </w:tcMar>
          </w:tcPr>
          <w:p>
            <w:pPr>
              <w:spacing w:after="0"/>
            </w:pPr>
            <w:r>
              <w:rPr>
                <w:rFonts w:ascii="Mendl Sans Dusk Regular" w:hAnsi="Mendl Sans Dusk Regular"/>
                <w:b w:val="0"/>
                <w:color w:val="202723"/>
                <w:sz w:val="16"/>
              </w:rPr>
              <w:t>SDS/HCM</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Hazard communication, inventories, manufacturer SDS and quick cards</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Quick cards exist; exact-product library missing.</w:t>
            </w:r>
          </w:p>
        </w:tc>
      </w:tr>
      <w:tr>
        <w:tc>
          <w:tcPr>
            <w:tcW w:type="dxa" w:w="70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IT/SEC</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IT, data, cyber and recovery</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Foundation exists; expand resilience.</w:t>
            </w:r>
          </w:p>
        </w:tc>
      </w:tr>
      <w:tr>
        <w:tc>
          <w:tcPr>
            <w:tcW w:type="dxa" w:w="708"/>
            <w:vAlign w:val="center"/>
            <w:tcMar>
              <w:top w:w="80" w:type="dxa"/>
              <w:start w:w="120" w:type="dxa"/>
              <w:bottom w:w="80" w:type="dxa"/>
              <w:end w:w="120" w:type="dxa"/>
            </w:tcMar>
          </w:tcPr>
          <w:p>
            <w:pPr>
              <w:spacing w:after="0"/>
            </w:pPr>
            <w:r>
              <w:rPr>
                <w:rFonts w:ascii="Mendl Sans Dusk Regular" w:hAnsi="Mendl Sans Dusk Regular"/>
                <w:b w:val="0"/>
                <w:color w:val="202723"/>
                <w:sz w:val="16"/>
              </w:rPr>
              <w:t>NE</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New employee orientation</w:t>
            </w:r>
          </w:p>
        </w:tc>
        <w:tc>
          <w:tcPr>
            <w:tcW w:type="dxa" w:w="4326"/>
            <w:vAlign w:val="center"/>
            <w:tcMar>
              <w:top w:w="80" w:type="dxa"/>
              <w:start w:w="120" w:type="dxa"/>
              <w:bottom w:w="80" w:type="dxa"/>
              <w:end w:w="120" w:type="dxa"/>
            </w:tcMar>
          </w:tcPr>
          <w:p>
            <w:pPr>
              <w:spacing w:after="0"/>
            </w:pPr>
            <w:r>
              <w:rPr>
                <w:rFonts w:ascii="Mendl Sans Dusk Regular" w:hAnsi="Mendl Sans Dusk Regular"/>
                <w:b w:val="0"/>
                <w:color w:val="202723"/>
                <w:sz w:val="16"/>
              </w:rPr>
              <w:t>Guide exists; referenced system-access form missing.</w:t>
            </w:r>
          </w:p>
        </w:tc>
      </w:tr>
      <w:tr>
        <w:tc>
          <w:tcPr>
            <w:tcW w:type="dxa" w:w="70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FORMS</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Controlled forms, workflow schemas and record rules</w:t>
            </w:r>
          </w:p>
        </w:tc>
        <w:tc>
          <w:tcPr>
            <w:tcW w:type="dxa" w:w="4326"/>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59 forms; redesign metadata and evidence fields.</w:t>
            </w:r>
          </w:p>
        </w:tc>
      </w:tr>
    </w:tbl>
    <w:p>
      <w:pPr>
        <w:spacing w:after="20"/>
      </w:pPr>
    </w:p>
    <w:p>
      <w:pPr>
        <w:pStyle w:val="Heading1"/>
      </w:pPr>
      <w:r>
        <w:rPr>
          <w:rFonts w:ascii="Mendl Sans Dusk Bold" w:hAnsi="Mendl Sans Dusk Bold"/>
          <w:b/>
          <w:color w:val="386851"/>
          <w:sz w:val="32"/>
        </w:rPr>
        <w:t>Appendix B - Form design standard</w:t>
      </w:r>
    </w:p>
    <w:p>
      <w:r>
        <w:rPr>
          <w:rFonts w:ascii="Mendl Sans Dusk Regular" w:hAnsi="Mendl Sans Dusk Regular"/>
          <w:b w:val="0"/>
          <w:color w:val="202723"/>
          <w:sz w:val="21"/>
        </w:rPr>
        <w:t>Every controlled form should include:</w:t>
      </w:r>
    </w:p>
    <w:p>
      <w:pPr>
        <w:pStyle w:val="ListBullet"/>
        <w:spacing w:after="80" w:line="276" w:lineRule="auto"/>
        <w:ind w:left="461" w:hanging="259"/>
      </w:pPr>
      <w:r>
        <w:rPr>
          <w:rFonts w:ascii="Mendl Sans Dusk Regular" w:hAnsi="Mendl Sans Dusk Regular"/>
          <w:b w:val="0"/>
          <w:color w:val="202723"/>
          <w:sz w:val="21"/>
        </w:rPr>
        <w:t>form ID, title, version and status;</w:t>
      </w:r>
    </w:p>
    <w:p>
      <w:pPr>
        <w:pStyle w:val="ListBullet"/>
        <w:spacing w:after="80" w:line="276" w:lineRule="auto"/>
        <w:ind w:left="461" w:hanging="259"/>
      </w:pPr>
      <w:r>
        <w:rPr>
          <w:rFonts w:ascii="Mendl Sans Dusk Regular" w:hAnsi="Mendl Sans Dusk Regular"/>
          <w:b w:val="0"/>
          <w:color w:val="202723"/>
          <w:sz w:val="21"/>
        </w:rPr>
        <w:t>project/job, location and unique record number;</w:t>
      </w:r>
    </w:p>
    <w:p>
      <w:pPr>
        <w:pStyle w:val="ListBullet"/>
        <w:spacing w:after="80" w:line="276" w:lineRule="auto"/>
        <w:ind w:left="461" w:hanging="259"/>
      </w:pPr>
      <w:r>
        <w:rPr>
          <w:rFonts w:ascii="Mendl Sans Dusk Regular" w:hAnsi="Mendl Sans Dusk Regular"/>
          <w:b w:val="0"/>
          <w:color w:val="202723"/>
          <w:sz w:val="21"/>
        </w:rPr>
        <w:t>date/time and responsible person;</w:t>
      </w:r>
    </w:p>
    <w:p>
      <w:pPr>
        <w:pStyle w:val="ListBullet"/>
        <w:spacing w:after="80" w:line="276" w:lineRule="auto"/>
        <w:ind w:left="461" w:hanging="259"/>
      </w:pPr>
      <w:r>
        <w:rPr>
          <w:rFonts w:ascii="Mendl Sans Dusk Regular" w:hAnsi="Mendl Sans Dusk Regular"/>
          <w:b w:val="0"/>
          <w:color w:val="202723"/>
          <w:sz w:val="21"/>
        </w:rPr>
        <w:t>clear instructions and trigger;</w:t>
      </w:r>
    </w:p>
    <w:p>
      <w:pPr>
        <w:pStyle w:val="ListBullet"/>
        <w:spacing w:after="80" w:line="276" w:lineRule="auto"/>
        <w:ind w:left="461" w:hanging="259"/>
      </w:pPr>
      <w:r>
        <w:rPr>
          <w:rFonts w:ascii="Mendl Sans Dusk Regular" w:hAnsi="Mendl Sans Dusk Regular"/>
          <w:b w:val="0"/>
          <w:color w:val="202723"/>
          <w:sz w:val="21"/>
        </w:rPr>
        <w:t>required facts, selections and attachments;</w:t>
      </w:r>
    </w:p>
    <w:p>
      <w:pPr>
        <w:pStyle w:val="ListBullet"/>
        <w:spacing w:after="80" w:line="276" w:lineRule="auto"/>
        <w:ind w:left="461" w:hanging="259"/>
      </w:pPr>
      <w:r>
        <w:rPr>
          <w:rFonts w:ascii="Mendl Sans Dusk Regular" w:hAnsi="Mendl Sans Dusk Regular"/>
          <w:b w:val="0"/>
          <w:color w:val="202723"/>
          <w:sz w:val="21"/>
        </w:rPr>
        <w:t>review/approval and closure fields;</w:t>
      </w:r>
    </w:p>
    <w:p>
      <w:pPr>
        <w:pStyle w:val="ListBullet"/>
        <w:spacing w:after="80" w:line="276" w:lineRule="auto"/>
        <w:ind w:left="461" w:hanging="259"/>
      </w:pPr>
      <w:r>
        <w:rPr>
          <w:rFonts w:ascii="Mendl Sans Dusk Regular" w:hAnsi="Mendl Sans Dusk Regular"/>
          <w:b w:val="0"/>
          <w:color w:val="202723"/>
          <w:sz w:val="21"/>
        </w:rPr>
        <w:t>corrective action, owner and due date when applicable;</w:t>
      </w:r>
    </w:p>
    <w:p>
      <w:pPr>
        <w:pStyle w:val="ListBullet"/>
        <w:spacing w:after="80" w:line="276" w:lineRule="auto"/>
        <w:ind w:left="461" w:hanging="259"/>
      </w:pPr>
      <w:r>
        <w:rPr>
          <w:rFonts w:ascii="Mendl Sans Dusk Regular" w:hAnsi="Mendl Sans Dusk Regular"/>
          <w:b w:val="0"/>
          <w:color w:val="202723"/>
          <w:sz w:val="21"/>
        </w:rPr>
        <w:t>system of record and retention classification;</w:t>
      </w:r>
    </w:p>
    <w:p>
      <w:pPr>
        <w:pStyle w:val="ListBullet"/>
        <w:spacing w:after="80" w:line="276" w:lineRule="auto"/>
        <w:ind w:left="461" w:hanging="259"/>
      </w:pPr>
      <w:r>
        <w:rPr>
          <w:rFonts w:ascii="Mendl Sans Dusk Regular" w:hAnsi="Mendl Sans Dusk Regular"/>
          <w:b w:val="0"/>
          <w:color w:val="202723"/>
          <w:sz w:val="21"/>
        </w:rPr>
        <w:t>page numbering when multi-page;</w:t>
      </w:r>
    </w:p>
    <w:p>
      <w:pPr>
        <w:pStyle w:val="ListBullet"/>
        <w:spacing w:after="80" w:line="276" w:lineRule="auto"/>
        <w:ind w:left="461" w:hanging="259"/>
      </w:pPr>
      <w:r>
        <w:rPr>
          <w:rFonts w:ascii="Mendl Sans Dusk Regular" w:hAnsi="Mendl Sans Dusk Regular"/>
          <w:b w:val="0"/>
          <w:color w:val="202723"/>
          <w:sz w:val="21"/>
        </w:rPr>
        <w:t>accessibility and usable mobile/print layout.</w:t>
      </w:r>
    </w:p>
    <w:p>
      <w:r>
        <w:rPr>
          <w:rFonts w:ascii="Mendl Sans Dusk Regular" w:hAnsi="Mendl Sans Dusk Regular"/>
          <w:b w:val="0"/>
          <w:color w:val="202723"/>
          <w:sz w:val="21"/>
        </w:rPr>
        <w:t>Permit and inspection forms require acceptance criteria, not only blank narrative boxes. Digital forms should enforce required fields while preserving an offline fallback for field-critical processes.</w:t>
      </w:r>
    </w:p>
    <w:p>
      <w:pPr>
        <w:pStyle w:val="Heading1"/>
      </w:pPr>
      <w:r>
        <w:rPr>
          <w:rFonts w:ascii="Mendl Sans Dusk Bold" w:hAnsi="Mendl Sans Dusk Bold"/>
          <w:b/>
          <w:color w:val="386851"/>
          <w:sz w:val="32"/>
        </w:rPr>
        <w:t>Appendix C - Toolbox-talk release gate</w:t>
      </w:r>
    </w:p>
    <w:p>
      <w:r>
        <w:rPr>
          <w:rFonts w:ascii="Mendl Sans Dusk Regular" w:hAnsi="Mendl Sans Dusk Regular"/>
          <w:b w:val="0"/>
          <w:color w:val="202723"/>
          <w:sz w:val="21"/>
        </w:rPr>
        <w:t>A TBT is approved only when:</w:t>
      </w:r>
    </w:p>
    <w:p>
      <w:pPr>
        <w:pStyle w:val="ListNumber"/>
        <w:spacing w:after="80" w:line="276" w:lineRule="auto"/>
        <w:ind w:left="461" w:hanging="259"/>
      </w:pPr>
      <w:r>
        <w:rPr>
          <w:rFonts w:ascii="Mendl Sans Dusk Regular" w:hAnsi="Mendl Sans Dusk Regular"/>
          <w:b w:val="0"/>
          <w:color w:val="202723"/>
          <w:sz w:val="21"/>
        </w:rPr>
        <w:t>Its governing program is approved.</w:t>
      </w:r>
    </w:p>
    <w:p>
      <w:pPr>
        <w:pStyle w:val="ListNumber"/>
        <w:spacing w:after="80" w:line="276" w:lineRule="auto"/>
        <w:ind w:left="461" w:hanging="259"/>
      </w:pPr>
      <w:r>
        <w:rPr>
          <w:rFonts w:ascii="Mendl Sans Dusk Regular" w:hAnsi="Mendl Sans Dusk Regular"/>
          <w:b w:val="0"/>
          <w:color w:val="202723"/>
          <w:sz w:val="21"/>
        </w:rPr>
        <w:t>Its topic ID and title are unique.</w:t>
      </w:r>
    </w:p>
    <w:p>
      <w:pPr>
        <w:pStyle w:val="ListNumber"/>
        <w:spacing w:after="80" w:line="276" w:lineRule="auto"/>
        <w:ind w:left="461" w:hanging="259"/>
      </w:pPr>
      <w:r>
        <w:rPr>
          <w:rFonts w:ascii="Mendl Sans Dusk Regular" w:hAnsi="Mendl Sans Dusk Regular"/>
          <w:b w:val="0"/>
          <w:color w:val="202723"/>
          <w:sz w:val="21"/>
        </w:rPr>
        <w:t>Regulatory and manufacturer references are current.</w:t>
      </w:r>
    </w:p>
    <w:p>
      <w:pPr>
        <w:pStyle w:val="ListNumber"/>
        <w:spacing w:after="80" w:line="276" w:lineRule="auto"/>
        <w:ind w:left="461" w:hanging="259"/>
      </w:pPr>
      <w:r>
        <w:rPr>
          <w:rFonts w:ascii="Mendl Sans Dusk Regular" w:hAnsi="Mendl Sans Dusk Regular"/>
          <w:b w:val="0"/>
          <w:color w:val="202723"/>
          <w:sz w:val="21"/>
        </w:rPr>
        <w:t>Technical thresholds are verified and properly qualified.</w:t>
      </w:r>
    </w:p>
    <w:p>
      <w:pPr>
        <w:pStyle w:val="ListNumber"/>
        <w:spacing w:after="80" w:line="276" w:lineRule="auto"/>
        <w:ind w:left="461" w:hanging="259"/>
      </w:pPr>
      <w:r>
        <w:rPr>
          <w:rFonts w:ascii="Mendl Sans Dusk Regular" w:hAnsi="Mendl Sans Dusk Regular"/>
          <w:b w:val="0"/>
          <w:color w:val="202723"/>
          <w:sz w:val="21"/>
        </w:rPr>
        <w:t>Required form and permit IDs exist and are current.</w:t>
      </w:r>
    </w:p>
    <w:p>
      <w:pPr>
        <w:pStyle w:val="ListNumber"/>
        <w:spacing w:after="80" w:line="276" w:lineRule="auto"/>
        <w:ind w:left="461" w:hanging="259"/>
      </w:pPr>
      <w:r>
        <w:rPr>
          <w:rFonts w:ascii="Mendl Sans Dusk Regular" w:hAnsi="Mendl Sans Dusk Regular"/>
          <w:b w:val="0"/>
          <w:color w:val="202723"/>
          <w:sz w:val="21"/>
        </w:rPr>
        <w:t>The talk distinguishes company policy from regulatory minimums.</w:t>
      </w:r>
    </w:p>
    <w:p>
      <w:pPr>
        <w:pStyle w:val="ListNumber"/>
        <w:spacing w:after="80" w:line="276" w:lineRule="auto"/>
        <w:ind w:left="461" w:hanging="259"/>
      </w:pPr>
      <w:r>
        <w:rPr>
          <w:rFonts w:ascii="Mendl Sans Dusk Regular" w:hAnsi="Mendl Sans Dusk Regular"/>
          <w:b w:val="0"/>
          <w:color w:val="202723"/>
          <w:sz w:val="21"/>
        </w:rPr>
        <w:t>Site-specific discussion prompts are included.</w:t>
      </w:r>
    </w:p>
    <w:p>
      <w:pPr>
        <w:pStyle w:val="ListNumber"/>
        <w:spacing w:after="80" w:line="276" w:lineRule="auto"/>
        <w:ind w:left="461" w:hanging="259"/>
      </w:pPr>
      <w:r>
        <w:rPr>
          <w:rFonts w:ascii="Mendl Sans Dusk Regular" w:hAnsi="Mendl Sans Dusk Regular"/>
          <w:b w:val="0"/>
          <w:color w:val="202723"/>
          <w:sz w:val="21"/>
        </w:rPr>
        <w:t>A comprehension check is included.</w:t>
      </w:r>
    </w:p>
    <w:p>
      <w:pPr>
        <w:pStyle w:val="ListNumber"/>
        <w:spacing w:after="80" w:line="276" w:lineRule="auto"/>
        <w:ind w:left="461" w:hanging="259"/>
      </w:pPr>
      <w:r>
        <w:rPr>
          <w:rFonts w:ascii="Mendl Sans Dusk Regular" w:hAnsi="Mendl Sans Dusk Regular"/>
          <w:b w:val="0"/>
          <w:color w:val="202723"/>
          <w:sz w:val="21"/>
        </w:rPr>
        <w:t>Technical and document-control approvals are recorded.</w:t>
      </w:r>
    </w:p>
    <w:p>
      <w:pPr>
        <w:pStyle w:val="ListNumber"/>
        <w:spacing w:after="80" w:line="276" w:lineRule="auto"/>
        <w:ind w:left="461" w:hanging="259"/>
      </w:pPr>
      <w:r>
        <w:rPr>
          <w:rFonts w:ascii="Mendl Sans Dusk Regular" w:hAnsi="Mendl Sans Dusk Regular"/>
          <w:b w:val="0"/>
          <w:color w:val="202723"/>
          <w:sz w:val="21"/>
        </w:rPr>
        <w:t>Translation, QR links and offline access are tested where used.</w:t>
      </w:r>
    </w:p>
    <w:p>
      <w:pPr>
        <w:pStyle w:val="Heading1"/>
      </w:pPr>
      <w:r>
        <w:rPr>
          <w:rFonts w:ascii="Mendl Sans Dusk Bold" w:hAnsi="Mendl Sans Dusk Bold"/>
          <w:b/>
          <w:color w:val="386851"/>
          <w:sz w:val="32"/>
        </w:rPr>
        <w:t>Appendix D - SDS control fields</w:t>
      </w:r>
    </w:p>
    <w:p>
      <w:r>
        <w:rPr>
          <w:rFonts w:ascii="Mendl Sans Dusk Regular" w:hAnsi="Mendl Sans Dusk Regular"/>
          <w:b w:val="0"/>
          <w:color w:val="202723"/>
          <w:sz w:val="21"/>
        </w:rPr>
        <w:t>The SDS register should capture:</w:t>
      </w:r>
    </w:p>
    <w:tbl>
      <w:tblPr>
        <w:tblStyle w:val="TableGrid"/>
        <w:tblW w:type="auto" w:w="0"/>
        <w:jc w:val="left"/>
        <w:tblLayout w:type="fixed"/>
        <w:tblLook w:firstColumn="1" w:firstRow="1" w:lastColumn="0" w:lastRow="0" w:noHBand="0" w:noVBand="1" w:val="04A0"/>
      </w:tblPr>
      <w:tblGrid>
        <w:gridCol w:w="4939"/>
        <w:gridCol w:w="4939"/>
      </w:tblGrid>
      <w:tr>
        <w:tc>
          <w:tcPr>
            <w:tcW w:type="dxa" w:w="3028"/>
            <w:vAlign w:val="center"/>
            <w:tcMar>
              <w:top w:w="80" w:type="dxa"/>
              <w:start w:w="120" w:type="dxa"/>
              <w:bottom w:w="80" w:type="dxa"/>
              <w:end w:w="120" w:type="dxa"/>
            </w:tcMar>
            <w:shd w:fill="386851"/>
          </w:tcPr>
          <w:p>
            <w:pPr>
              <w:spacing w:after="0"/>
            </w:pPr>
            <w:r>
              <w:rPr>
                <w:rFonts w:ascii="Mendl Sans Dusk Bold" w:hAnsi="Mendl Sans Dusk Bold"/>
                <w:b/>
                <w:color w:val="FFFFFF"/>
                <w:sz w:val="16"/>
              </w:rPr>
              <w:t>Field</w:t>
            </w:r>
          </w:p>
        </w:tc>
        <w:tc>
          <w:tcPr>
            <w:tcW w:type="dxa" w:w="6332"/>
            <w:vAlign w:val="center"/>
            <w:tcMar>
              <w:top w:w="80" w:type="dxa"/>
              <w:start w:w="120" w:type="dxa"/>
              <w:bottom w:w="80" w:type="dxa"/>
              <w:end w:w="120" w:type="dxa"/>
            </w:tcMar>
            <w:shd w:fill="386851"/>
          </w:tcPr>
          <w:p>
            <w:pPr>
              <w:spacing w:after="0"/>
            </w:pPr>
            <w:r>
              <w:rPr>
                <w:rFonts w:ascii="Mendl Sans Dusk Bold" w:hAnsi="Mendl Sans Dusk Bold"/>
                <w:b/>
                <w:color w:val="FFFFFF"/>
                <w:sz w:val="16"/>
              </w:rPr>
              <w:t>Requirement</w:t>
            </w:r>
          </w:p>
        </w:tc>
      </w:tr>
      <w:tr>
        <w:tc>
          <w:tcPr>
            <w:tcW w:type="dxa" w:w="3028"/>
            <w:vAlign w:val="center"/>
            <w:tcMar>
              <w:top w:w="80" w:type="dxa"/>
              <w:start w:w="120" w:type="dxa"/>
              <w:bottom w:w="80" w:type="dxa"/>
              <w:end w:w="120" w:type="dxa"/>
            </w:tcMar>
          </w:tcPr>
          <w:p>
            <w:pPr>
              <w:spacing w:after="0"/>
            </w:pPr>
            <w:r>
              <w:rPr>
                <w:rFonts w:ascii="Mendl Sans Dusk Regular" w:hAnsi="Mendl Sans Dusk Regular"/>
                <w:b w:val="0"/>
                <w:color w:val="202723"/>
                <w:sz w:val="16"/>
              </w:rPr>
              <w:t>Product identifier</w:t>
            </w:r>
          </w:p>
        </w:tc>
        <w:tc>
          <w:tcPr>
            <w:tcW w:type="dxa" w:w="6332"/>
            <w:vAlign w:val="center"/>
            <w:tcMar>
              <w:top w:w="80" w:type="dxa"/>
              <w:start w:w="120" w:type="dxa"/>
              <w:bottom w:w="80" w:type="dxa"/>
              <w:end w:w="120" w:type="dxa"/>
            </w:tcMar>
          </w:tcPr>
          <w:p>
            <w:pPr>
              <w:spacing w:after="0"/>
            </w:pPr>
            <w:r>
              <w:rPr>
                <w:rFonts w:ascii="Mendl Sans Dusk Regular" w:hAnsi="Mendl Sans Dusk Regular"/>
                <w:b w:val="0"/>
                <w:color w:val="202723"/>
                <w:sz w:val="16"/>
              </w:rPr>
              <w:t>Exact label name.</w:t>
            </w:r>
          </w:p>
        </w:tc>
      </w:tr>
      <w:tr>
        <w:tc>
          <w:tcPr>
            <w:tcW w:type="dxa" w:w="302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Manufacturer/supplier</w:t>
            </w:r>
          </w:p>
        </w:tc>
        <w:tc>
          <w:tcPr>
            <w:tcW w:type="dxa" w:w="6332"/>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Exact company, not “Various.”</w:t>
            </w:r>
          </w:p>
        </w:tc>
      </w:tr>
      <w:tr>
        <w:tc>
          <w:tcPr>
            <w:tcW w:type="dxa" w:w="3028"/>
            <w:vAlign w:val="center"/>
            <w:tcMar>
              <w:top w:w="80" w:type="dxa"/>
              <w:start w:w="120" w:type="dxa"/>
              <w:bottom w:w="80" w:type="dxa"/>
              <w:end w:w="120" w:type="dxa"/>
            </w:tcMar>
          </w:tcPr>
          <w:p>
            <w:pPr>
              <w:spacing w:after="0"/>
            </w:pPr>
            <w:r>
              <w:rPr>
                <w:rFonts w:ascii="Mendl Sans Dusk Regular" w:hAnsi="Mendl Sans Dusk Regular"/>
                <w:b w:val="0"/>
                <w:color w:val="202723"/>
                <w:sz w:val="16"/>
              </w:rPr>
              <w:t>Product/SKU</w:t>
            </w:r>
          </w:p>
        </w:tc>
        <w:tc>
          <w:tcPr>
            <w:tcW w:type="dxa" w:w="6332"/>
            <w:vAlign w:val="center"/>
            <w:tcMar>
              <w:top w:w="80" w:type="dxa"/>
              <w:start w:w="120" w:type="dxa"/>
              <w:bottom w:w="80" w:type="dxa"/>
              <w:end w:w="120" w:type="dxa"/>
            </w:tcMar>
          </w:tcPr>
          <w:p>
            <w:pPr>
              <w:spacing w:after="0"/>
            </w:pPr>
            <w:r>
              <w:rPr>
                <w:rFonts w:ascii="Mendl Sans Dusk Regular" w:hAnsi="Mendl Sans Dusk Regular"/>
                <w:b w:val="0"/>
                <w:color w:val="202723"/>
                <w:sz w:val="16"/>
              </w:rPr>
              <w:t>Distinguishes formulations.</w:t>
            </w:r>
          </w:p>
        </w:tc>
      </w:tr>
      <w:tr>
        <w:tc>
          <w:tcPr>
            <w:tcW w:type="dxa" w:w="302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SDS revision date</w:t>
            </w:r>
          </w:p>
        </w:tc>
        <w:tc>
          <w:tcPr>
            <w:tcW w:type="dxa" w:w="6332"/>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From source document.</w:t>
            </w:r>
          </w:p>
        </w:tc>
      </w:tr>
      <w:tr>
        <w:tc>
          <w:tcPr>
            <w:tcW w:type="dxa" w:w="3028"/>
            <w:vAlign w:val="center"/>
            <w:tcMar>
              <w:top w:w="80" w:type="dxa"/>
              <w:start w:w="120" w:type="dxa"/>
              <w:bottom w:w="80" w:type="dxa"/>
              <w:end w:w="120" w:type="dxa"/>
            </w:tcMar>
          </w:tcPr>
          <w:p>
            <w:pPr>
              <w:spacing w:after="0"/>
            </w:pPr>
            <w:r>
              <w:rPr>
                <w:rFonts w:ascii="Mendl Sans Dusk Regular" w:hAnsi="Mendl Sans Dusk Regular"/>
                <w:b w:val="0"/>
                <w:color w:val="202723"/>
                <w:sz w:val="16"/>
              </w:rPr>
              <w:t>Date received/verified</w:t>
            </w:r>
          </w:p>
        </w:tc>
        <w:tc>
          <w:tcPr>
            <w:tcW w:type="dxa" w:w="6332"/>
            <w:vAlign w:val="center"/>
            <w:tcMar>
              <w:top w:w="80" w:type="dxa"/>
              <w:start w:w="120" w:type="dxa"/>
              <w:bottom w:w="80" w:type="dxa"/>
              <w:end w:w="120" w:type="dxa"/>
            </w:tcMar>
          </w:tcPr>
          <w:p>
            <w:pPr>
              <w:spacing w:after="0"/>
            </w:pPr>
            <w:r>
              <w:rPr>
                <w:rFonts w:ascii="Mendl Sans Dusk Regular" w:hAnsi="Mendl Sans Dusk Regular"/>
                <w:b w:val="0"/>
                <w:color w:val="202723"/>
                <w:sz w:val="16"/>
              </w:rPr>
              <w:t>Evidence of current review.</w:t>
            </w:r>
          </w:p>
        </w:tc>
      </w:tr>
      <w:tr>
        <w:tc>
          <w:tcPr>
            <w:tcW w:type="dxa" w:w="302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Project/location</w:t>
            </w:r>
          </w:p>
        </w:tc>
        <w:tc>
          <w:tcPr>
            <w:tcW w:type="dxa" w:w="6332"/>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Where used or stored.</w:t>
            </w:r>
          </w:p>
        </w:tc>
      </w:tr>
      <w:tr>
        <w:tc>
          <w:tcPr>
            <w:tcW w:type="dxa" w:w="3028"/>
            <w:vAlign w:val="center"/>
            <w:tcMar>
              <w:top w:w="80" w:type="dxa"/>
              <w:start w:w="120" w:type="dxa"/>
              <w:bottom w:w="80" w:type="dxa"/>
              <w:end w:w="120" w:type="dxa"/>
            </w:tcMar>
          </w:tcPr>
          <w:p>
            <w:pPr>
              <w:spacing w:after="0"/>
            </w:pPr>
            <w:r>
              <w:rPr>
                <w:rFonts w:ascii="Mendl Sans Dusk Regular" w:hAnsi="Mendl Sans Dusk Regular"/>
                <w:b w:val="0"/>
                <w:color w:val="202723"/>
                <w:sz w:val="16"/>
              </w:rPr>
              <w:t>Responsible contractor</w:t>
            </w:r>
          </w:p>
        </w:tc>
        <w:tc>
          <w:tcPr>
            <w:tcW w:type="dxa" w:w="6332"/>
            <w:vAlign w:val="center"/>
            <w:tcMar>
              <w:top w:w="80" w:type="dxa"/>
              <w:start w:w="120" w:type="dxa"/>
              <w:bottom w:w="80" w:type="dxa"/>
              <w:end w:w="120" w:type="dxa"/>
            </w:tcMar>
          </w:tcPr>
          <w:p>
            <w:pPr>
              <w:spacing w:after="0"/>
            </w:pPr>
            <w:r>
              <w:rPr>
                <w:rFonts w:ascii="Mendl Sans Dusk Regular" w:hAnsi="Mendl Sans Dusk Regular"/>
                <w:b w:val="0"/>
                <w:color w:val="202723"/>
                <w:sz w:val="16"/>
              </w:rPr>
              <w:t>MH or subcontractor owner.</w:t>
            </w:r>
          </w:p>
        </w:tc>
      </w:tr>
      <w:tr>
        <w:tc>
          <w:tcPr>
            <w:tcW w:type="dxa" w:w="302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Quantity/storage</w:t>
            </w:r>
          </w:p>
        </w:tc>
        <w:tc>
          <w:tcPr>
            <w:tcW w:type="dxa" w:w="6332"/>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Supports emergency and environmental planning.</w:t>
            </w:r>
          </w:p>
        </w:tc>
      </w:tr>
      <w:tr>
        <w:tc>
          <w:tcPr>
            <w:tcW w:type="dxa" w:w="3028"/>
            <w:vAlign w:val="center"/>
            <w:tcMar>
              <w:top w:w="80" w:type="dxa"/>
              <w:start w:w="120" w:type="dxa"/>
              <w:bottom w:w="80" w:type="dxa"/>
              <w:end w:w="120" w:type="dxa"/>
            </w:tcMar>
          </w:tcPr>
          <w:p>
            <w:pPr>
              <w:spacing w:after="0"/>
            </w:pPr>
            <w:r>
              <w:rPr>
                <w:rFonts w:ascii="Mendl Sans Dusk Regular" w:hAnsi="Mendl Sans Dusk Regular"/>
                <w:b w:val="0"/>
                <w:color w:val="202723"/>
                <w:sz w:val="16"/>
              </w:rPr>
              <w:t>Primary hazards</w:t>
            </w:r>
          </w:p>
        </w:tc>
        <w:tc>
          <w:tcPr>
            <w:tcW w:type="dxa" w:w="6332"/>
            <w:vAlign w:val="center"/>
            <w:tcMar>
              <w:top w:w="80" w:type="dxa"/>
              <w:start w:w="120" w:type="dxa"/>
              <w:bottom w:w="80" w:type="dxa"/>
              <w:end w:w="120" w:type="dxa"/>
            </w:tcMar>
          </w:tcPr>
          <w:p>
            <w:pPr>
              <w:spacing w:after="0"/>
            </w:pPr>
            <w:r>
              <w:rPr>
                <w:rFonts w:ascii="Mendl Sans Dusk Regular" w:hAnsi="Mendl Sans Dusk Regular"/>
                <w:b w:val="0"/>
                <w:color w:val="202723"/>
                <w:sz w:val="16"/>
              </w:rPr>
              <w:t>Search/filter aid; source SDS controls.</w:t>
            </w:r>
          </w:p>
        </w:tc>
      </w:tr>
      <w:tr>
        <w:tc>
          <w:tcPr>
            <w:tcW w:type="dxa" w:w="302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Quick-card ID</w:t>
            </w:r>
          </w:p>
        </w:tc>
        <w:tc>
          <w:tcPr>
            <w:tcW w:type="dxa" w:w="6332"/>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Optional derived aid.</w:t>
            </w:r>
          </w:p>
        </w:tc>
      </w:tr>
      <w:tr>
        <w:tc>
          <w:tcPr>
            <w:tcW w:type="dxa" w:w="3028"/>
            <w:vAlign w:val="center"/>
            <w:tcMar>
              <w:top w:w="80" w:type="dxa"/>
              <w:start w:w="120" w:type="dxa"/>
              <w:bottom w:w="80" w:type="dxa"/>
              <w:end w:w="120" w:type="dxa"/>
            </w:tcMar>
          </w:tcPr>
          <w:p>
            <w:pPr>
              <w:spacing w:after="0"/>
            </w:pPr>
            <w:r>
              <w:rPr>
                <w:rFonts w:ascii="Mendl Sans Dusk Regular" w:hAnsi="Mendl Sans Dusk Regular"/>
                <w:b w:val="0"/>
                <w:color w:val="202723"/>
                <w:sz w:val="16"/>
              </w:rPr>
              <w:t>Source file/link</w:t>
            </w:r>
          </w:p>
        </w:tc>
        <w:tc>
          <w:tcPr>
            <w:tcW w:type="dxa" w:w="6332"/>
            <w:vAlign w:val="center"/>
            <w:tcMar>
              <w:top w:w="80" w:type="dxa"/>
              <w:start w:w="120" w:type="dxa"/>
              <w:bottom w:w="80" w:type="dxa"/>
              <w:end w:w="120" w:type="dxa"/>
            </w:tcMar>
          </w:tcPr>
          <w:p>
            <w:pPr>
              <w:spacing w:after="0"/>
            </w:pPr>
            <w:r>
              <w:rPr>
                <w:rFonts w:ascii="Mendl Sans Dusk Regular" w:hAnsi="Mendl Sans Dusk Regular"/>
                <w:b w:val="0"/>
                <w:color w:val="202723"/>
                <w:sz w:val="16"/>
              </w:rPr>
              <w:t>Immediate approved access.</w:t>
            </w:r>
          </w:p>
        </w:tc>
      </w:tr>
      <w:tr>
        <w:tc>
          <w:tcPr>
            <w:tcW w:type="dxa" w:w="3028"/>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Offline-copy status</w:t>
            </w:r>
          </w:p>
        </w:tc>
        <w:tc>
          <w:tcPr>
            <w:tcW w:type="dxa" w:w="6332"/>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Confirms field backup.</w:t>
            </w:r>
          </w:p>
        </w:tc>
      </w:tr>
      <w:tr>
        <w:tc>
          <w:tcPr>
            <w:tcW w:type="dxa" w:w="3028"/>
            <w:vAlign w:val="center"/>
            <w:tcMar>
              <w:top w:w="80" w:type="dxa"/>
              <w:start w:w="120" w:type="dxa"/>
              <w:bottom w:w="80" w:type="dxa"/>
              <w:end w:w="120" w:type="dxa"/>
            </w:tcMar>
          </w:tcPr>
          <w:p>
            <w:pPr>
              <w:spacing w:after="0"/>
            </w:pPr>
            <w:r>
              <w:rPr>
                <w:rFonts w:ascii="Mendl Sans Dusk Regular" w:hAnsi="Mendl Sans Dusk Regular"/>
                <w:b w:val="0"/>
                <w:color w:val="202723"/>
                <w:sz w:val="16"/>
              </w:rPr>
              <w:t>Removed date</w:t>
            </w:r>
          </w:p>
        </w:tc>
        <w:tc>
          <w:tcPr>
            <w:tcW w:type="dxa" w:w="6332"/>
            <w:vAlign w:val="center"/>
            <w:tcMar>
              <w:top w:w="80" w:type="dxa"/>
              <w:start w:w="120" w:type="dxa"/>
              <w:bottom w:w="80" w:type="dxa"/>
              <w:end w:w="120" w:type="dxa"/>
            </w:tcMar>
          </w:tcPr>
          <w:p>
            <w:pPr>
              <w:spacing w:after="0"/>
            </w:pPr>
            <w:r>
              <w:rPr>
                <w:rFonts w:ascii="Mendl Sans Dusk Regular" w:hAnsi="Mendl Sans Dusk Regular"/>
                <w:b w:val="0"/>
                <w:color w:val="202723"/>
                <w:sz w:val="16"/>
              </w:rPr>
              <w:t>Closes inventory lifecycle.</w:t>
            </w:r>
          </w:p>
        </w:tc>
      </w:tr>
    </w:tbl>
    <w:p>
      <w:pPr>
        <w:spacing w:after="20"/>
      </w:pPr>
    </w:p>
    <w:p>
      <w:pPr>
        <w:pStyle w:val="Heading1"/>
      </w:pPr>
      <w:r>
        <w:rPr>
          <w:rFonts w:ascii="Mendl Sans Dusk Bold" w:hAnsi="Mendl Sans Dusk Bold"/>
          <w:b/>
          <w:color w:val="386851"/>
          <w:sz w:val="32"/>
        </w:rPr>
        <w:t>Appendix E - Adoption checklist</w:t>
      </w:r>
    </w:p>
    <w:p>
      <w:r>
        <w:rPr>
          <w:rFonts w:ascii="Mendl Sans Dusk Regular" w:hAnsi="Mendl Sans Dusk Regular"/>
          <w:b w:val="0"/>
          <w:color w:val="202723"/>
          <w:sz w:val="21"/>
        </w:rPr>
        <w:t>Before Version 1.0 approval, leadership shall confirm:</w:t>
      </w:r>
    </w:p>
    <w:p>
      <w:pPr>
        <w:pStyle w:val="ListBullet"/>
        <w:spacing w:after="80" w:line="276" w:lineRule="auto"/>
        <w:ind w:left="461" w:hanging="259"/>
      </w:pPr>
      <w:r>
        <w:rPr>
          <w:rFonts w:ascii="Mendl Sans Dusk Regular" w:hAnsi="Mendl Sans Dusk Regular"/>
          <w:b w:val="0"/>
          <w:color w:val="202723"/>
          <w:sz w:val="21"/>
        </w:rPr>
        <w:t>the legal organization chart and delegation matrix;</w:t>
      </w:r>
    </w:p>
    <w:p>
      <w:pPr>
        <w:pStyle w:val="ListBullet"/>
        <w:spacing w:after="80" w:line="276" w:lineRule="auto"/>
        <w:ind w:left="461" w:hanging="259"/>
      </w:pPr>
      <w:r>
        <w:rPr>
          <w:rFonts w:ascii="Mendl Sans Dusk Regular" w:hAnsi="Mendl Sans Dusk Regular"/>
          <w:b w:val="0"/>
          <w:color w:val="202723"/>
          <w:sz w:val="21"/>
        </w:rPr>
        <w:t>document owners and approvers;</w:t>
      </w:r>
    </w:p>
    <w:p>
      <w:pPr>
        <w:pStyle w:val="ListBullet"/>
        <w:spacing w:after="80" w:line="276" w:lineRule="auto"/>
        <w:ind w:left="461" w:hanging="259"/>
      </w:pPr>
      <w:r>
        <w:rPr>
          <w:rFonts w:ascii="Mendl Sans Dusk Regular" w:hAnsi="Mendl Sans Dusk Regular"/>
          <w:b w:val="0"/>
          <w:color w:val="202723"/>
          <w:sz w:val="21"/>
        </w:rPr>
        <w:t>the approved list of active jurisdictions;</w:t>
      </w:r>
    </w:p>
    <w:p>
      <w:pPr>
        <w:pStyle w:val="ListBullet"/>
        <w:spacing w:after="80" w:line="276" w:lineRule="auto"/>
        <w:ind w:left="461" w:hanging="259"/>
      </w:pPr>
      <w:r>
        <w:rPr>
          <w:rFonts w:ascii="Mendl Sans Dusk Regular" w:hAnsi="Mendl Sans Dusk Regular"/>
          <w:b w:val="0"/>
          <w:color w:val="202723"/>
          <w:sz w:val="21"/>
        </w:rPr>
        <w:t>the authoritative systems-of-record matrix;</w:t>
      </w:r>
    </w:p>
    <w:p>
      <w:pPr>
        <w:pStyle w:val="ListBullet"/>
        <w:spacing w:after="80" w:line="276" w:lineRule="auto"/>
        <w:ind w:left="461" w:hanging="259"/>
      </w:pPr>
      <w:r>
        <w:rPr>
          <w:rFonts w:ascii="Mendl Sans Dusk Regular" w:hAnsi="Mendl Sans Dusk Regular"/>
          <w:b w:val="0"/>
          <w:color w:val="202723"/>
          <w:sz w:val="21"/>
        </w:rPr>
        <w:t>current Employee Handbook and required state addenda;</w:t>
      </w:r>
    </w:p>
    <w:p>
      <w:pPr>
        <w:pStyle w:val="ListBullet"/>
        <w:spacing w:after="80" w:line="276" w:lineRule="auto"/>
        <w:ind w:left="461" w:hanging="259"/>
      </w:pPr>
      <w:r>
        <w:rPr>
          <w:rFonts w:ascii="Mendl Sans Dusk Regular" w:hAnsi="Mendl Sans Dusk Regular"/>
          <w:b w:val="0"/>
          <w:color w:val="202723"/>
          <w:sz w:val="21"/>
        </w:rPr>
        <w:t>safety-professional review of MISH and high-risk TBTs;</w:t>
      </w:r>
    </w:p>
    <w:p>
      <w:pPr>
        <w:pStyle w:val="ListBullet"/>
        <w:spacing w:after="80" w:line="276" w:lineRule="auto"/>
        <w:ind w:left="461" w:hanging="259"/>
      </w:pPr>
      <w:r>
        <w:rPr>
          <w:rFonts w:ascii="Mendl Sans Dusk Regular" w:hAnsi="Mendl Sans Dusk Regular"/>
          <w:b w:val="0"/>
          <w:color w:val="202723"/>
          <w:sz w:val="21"/>
        </w:rPr>
        <w:t>construction/employment counsel review of affected legal policies;</w:t>
      </w:r>
    </w:p>
    <w:p>
      <w:pPr>
        <w:pStyle w:val="ListBullet"/>
        <w:spacing w:after="80" w:line="276" w:lineRule="auto"/>
        <w:ind w:left="461" w:hanging="259"/>
      </w:pPr>
      <w:r>
        <w:rPr>
          <w:rFonts w:ascii="Mendl Sans Dusk Regular" w:hAnsi="Mendl Sans Dusk Regular"/>
          <w:b w:val="0"/>
          <w:color w:val="202723"/>
          <w:sz w:val="21"/>
        </w:rPr>
        <w:t>exact-product chemical inventory and manufacturer SDS access;</w:t>
      </w:r>
    </w:p>
    <w:p>
      <w:pPr>
        <w:pStyle w:val="ListBullet"/>
        <w:spacing w:after="80" w:line="276" w:lineRule="auto"/>
        <w:ind w:left="461" w:hanging="259"/>
      </w:pPr>
      <w:r>
        <w:rPr>
          <w:rFonts w:ascii="Mendl Sans Dusk Regular" w:hAnsi="Mendl Sans Dusk Regular"/>
          <w:b w:val="0"/>
          <w:color w:val="202723"/>
          <w:sz w:val="21"/>
        </w:rPr>
        <w:t>project pilot and field usability results;</w:t>
      </w:r>
    </w:p>
    <w:p>
      <w:pPr>
        <w:pStyle w:val="ListBullet"/>
        <w:spacing w:after="80" w:line="276" w:lineRule="auto"/>
        <w:ind w:left="461" w:hanging="259"/>
      </w:pPr>
      <w:r>
        <w:rPr>
          <w:rFonts w:ascii="Mendl Sans Dusk Regular" w:hAnsi="Mendl Sans Dusk Regular"/>
          <w:b w:val="0"/>
          <w:color w:val="202723"/>
          <w:sz w:val="21"/>
        </w:rPr>
        <w:t>training and communication plan;</w:t>
      </w:r>
    </w:p>
    <w:p>
      <w:pPr>
        <w:pStyle w:val="ListBullet"/>
        <w:spacing w:after="80" w:line="276" w:lineRule="auto"/>
        <w:ind w:left="461" w:hanging="259"/>
      </w:pPr>
      <w:r>
        <w:rPr>
          <w:rFonts w:ascii="Mendl Sans Dusk Regular" w:hAnsi="Mendl Sans Dusk Regular"/>
          <w:b w:val="0"/>
          <w:color w:val="202723"/>
          <w:sz w:val="21"/>
        </w:rPr>
        <w:t>archive of superseded source documents;</w:t>
      </w:r>
    </w:p>
    <w:p>
      <w:pPr>
        <w:pStyle w:val="ListBullet"/>
        <w:spacing w:after="80" w:line="276" w:lineRule="auto"/>
        <w:ind w:left="461" w:hanging="259"/>
      </w:pPr>
      <w:r>
        <w:rPr>
          <w:rFonts w:ascii="Mendl Sans Dusk Regular" w:hAnsi="Mendl Sans Dusk Regular"/>
          <w:b w:val="0"/>
          <w:color w:val="202723"/>
          <w:sz w:val="21"/>
        </w:rPr>
        <w:t>signed approval and effective date.</w:t>
      </w:r>
    </w:p>
    <w:p>
      <w:pPr>
        <w:pStyle w:val="Heading1"/>
      </w:pPr>
      <w:r>
        <w:rPr>
          <w:rFonts w:ascii="Mendl Sans Dusk Bold" w:hAnsi="Mendl Sans Dusk Bold"/>
          <w:b/>
          <w:color w:val="386851"/>
          <w:sz w:val="32"/>
        </w:rPr>
        <w:t>Appendix F - Definitions</w:t>
      </w:r>
    </w:p>
    <w:p>
      <w:r>
        <w:rPr>
          <w:rFonts w:ascii="Mendl Sans Dusk Bold" w:hAnsi="Mendl Sans Dusk Bold"/>
          <w:b/>
          <w:color w:val="202723"/>
          <w:sz w:val="21"/>
        </w:rPr>
        <w:t>Approved:</w:t>
      </w:r>
      <w:r>
        <w:rPr>
          <w:rFonts w:ascii="Mendl Sans Dusk Regular" w:hAnsi="Mendl Sans Dusk Regular"/>
          <w:b w:val="0"/>
          <w:color w:val="202723"/>
          <w:sz w:val="21"/>
        </w:rPr>
        <w:t xml:space="preserve"> Formally authorized and released for use. </w:t>
      </w:r>
      <w:r>
        <w:rPr>
          <w:rFonts w:ascii="Mendl Sans Dusk Bold" w:hAnsi="Mendl Sans Dusk Bold"/>
          <w:b/>
          <w:color w:val="202723"/>
          <w:sz w:val="21"/>
        </w:rPr>
        <w:t>Competent Person:</w:t>
      </w:r>
      <w:r>
        <w:rPr>
          <w:rFonts w:ascii="Mendl Sans Dusk Regular" w:hAnsi="Mendl Sans Dusk Regular"/>
          <w:b w:val="0"/>
          <w:color w:val="202723"/>
          <w:sz w:val="21"/>
        </w:rPr>
        <w:t xml:space="preserve"> A term defined by applicable safety standards; designation requires the knowledge and authority required by the applicable rule. </w:t>
      </w:r>
      <w:r>
        <w:rPr>
          <w:rFonts w:ascii="Mendl Sans Dusk Bold" w:hAnsi="Mendl Sans Dusk Bold"/>
          <w:b/>
          <w:color w:val="202723"/>
          <w:sz w:val="21"/>
        </w:rPr>
        <w:t>Corrective action:</w:t>
      </w:r>
      <w:r>
        <w:rPr>
          <w:rFonts w:ascii="Mendl Sans Dusk Regular" w:hAnsi="Mendl Sans Dusk Regular"/>
          <w:b w:val="0"/>
          <w:color w:val="202723"/>
          <w:sz w:val="21"/>
        </w:rPr>
        <w:t xml:space="preserve"> Action that addresses the cause of a detected problem to prevent recurrence. </w:t>
      </w:r>
      <w:r>
        <w:rPr>
          <w:rFonts w:ascii="Mendl Sans Dusk Bold" w:hAnsi="Mendl Sans Dusk Bold"/>
          <w:b/>
          <w:color w:val="202723"/>
          <w:sz w:val="21"/>
        </w:rPr>
        <w:t>Controlled document:</w:t>
      </w:r>
      <w:r>
        <w:rPr>
          <w:rFonts w:ascii="Mendl Sans Dusk Regular" w:hAnsi="Mendl Sans Dusk Regular"/>
          <w:b w:val="0"/>
          <w:color w:val="202723"/>
          <w:sz w:val="21"/>
        </w:rPr>
        <w:t xml:space="preserve"> A document subject to approval, version, access, revision and removal rules. </w:t>
      </w:r>
      <w:r>
        <w:rPr>
          <w:rFonts w:ascii="Mendl Sans Dusk Bold" w:hAnsi="Mendl Sans Dusk Bold"/>
          <w:b/>
          <w:color w:val="202723"/>
          <w:sz w:val="21"/>
        </w:rPr>
        <w:t>Evidence:</w:t>
      </w:r>
      <w:r>
        <w:rPr>
          <w:rFonts w:ascii="Mendl Sans Dusk Regular" w:hAnsi="Mendl Sans Dusk Regular"/>
          <w:b w:val="0"/>
          <w:color w:val="202723"/>
          <w:sz w:val="21"/>
        </w:rPr>
        <w:t xml:space="preserve"> A record showing that a required action or decision occurred. </w:t>
      </w:r>
      <w:r>
        <w:rPr>
          <w:rFonts w:ascii="Mendl Sans Dusk Bold" w:hAnsi="Mendl Sans Dusk Bold"/>
          <w:b/>
          <w:color w:val="202723"/>
          <w:sz w:val="21"/>
        </w:rPr>
        <w:t>Hold point:</w:t>
      </w:r>
      <w:r>
        <w:rPr>
          <w:rFonts w:ascii="Mendl Sans Dusk Regular" w:hAnsi="Mendl Sans Dusk Regular"/>
          <w:b w:val="0"/>
          <w:color w:val="202723"/>
          <w:sz w:val="21"/>
        </w:rPr>
        <w:t xml:space="preserve"> A point beyond which work may not proceed without specified acceptance. </w:t>
      </w:r>
      <w:r>
        <w:rPr>
          <w:rFonts w:ascii="Mendl Sans Dusk Bold" w:hAnsi="Mendl Sans Dusk Bold"/>
          <w:b/>
          <w:color w:val="202723"/>
          <w:sz w:val="21"/>
        </w:rPr>
        <w:t>NCR:</w:t>
      </w:r>
      <w:r>
        <w:rPr>
          <w:rFonts w:ascii="Mendl Sans Dusk Regular" w:hAnsi="Mendl Sans Dusk Regular"/>
          <w:b w:val="0"/>
          <w:color w:val="202723"/>
          <w:sz w:val="21"/>
        </w:rPr>
        <w:t xml:space="preserve"> Nonconformance report documenting work or material that does not meet requirements. </w:t>
      </w:r>
      <w:r>
        <w:rPr>
          <w:rFonts w:ascii="Mendl Sans Dusk Bold" w:hAnsi="Mendl Sans Dusk Bold"/>
          <w:b/>
          <w:color w:val="202723"/>
          <w:sz w:val="21"/>
        </w:rPr>
        <w:t>Qualified Person:</w:t>
      </w:r>
      <w:r>
        <w:rPr>
          <w:rFonts w:ascii="Mendl Sans Dusk Regular" w:hAnsi="Mendl Sans Dusk Regular"/>
          <w:b w:val="0"/>
          <w:color w:val="202723"/>
          <w:sz w:val="21"/>
        </w:rPr>
        <w:t xml:space="preserve"> A term defined by the applicable rule or professional context; it is not established merely by job title. </w:t>
      </w:r>
      <w:r>
        <w:rPr>
          <w:rFonts w:ascii="Mendl Sans Dusk Bold" w:hAnsi="Mendl Sans Dusk Bold"/>
          <w:b/>
          <w:color w:val="202723"/>
          <w:sz w:val="21"/>
        </w:rPr>
        <w:t>Quick-reference card:</w:t>
      </w:r>
      <w:r>
        <w:rPr>
          <w:rFonts w:ascii="Mendl Sans Dusk Regular" w:hAnsi="Mendl Sans Dusk Regular"/>
          <w:b w:val="0"/>
          <w:color w:val="202723"/>
          <w:sz w:val="21"/>
        </w:rPr>
        <w:t xml:space="preserve"> A summary aid that does not replace the controlling source. </w:t>
      </w:r>
      <w:r>
        <w:rPr>
          <w:rFonts w:ascii="Mendl Sans Dusk Bold" w:hAnsi="Mendl Sans Dusk Bold"/>
          <w:b/>
          <w:color w:val="202723"/>
          <w:sz w:val="21"/>
        </w:rPr>
        <w:t>Record:</w:t>
      </w:r>
      <w:r>
        <w:rPr>
          <w:rFonts w:ascii="Mendl Sans Dusk Regular" w:hAnsi="Mendl Sans Dusk Regular"/>
          <w:b w:val="0"/>
          <w:color w:val="202723"/>
          <w:sz w:val="21"/>
        </w:rPr>
        <w:t xml:space="preserve"> Evidence retained after a process or decision. </w:t>
      </w:r>
      <w:r>
        <w:rPr>
          <w:rFonts w:ascii="Mendl Sans Dusk Bold" w:hAnsi="Mendl Sans Dusk Bold"/>
          <w:b/>
          <w:color w:val="202723"/>
          <w:sz w:val="21"/>
        </w:rPr>
        <w:t>System of record:</w:t>
      </w:r>
      <w:r>
        <w:rPr>
          <w:rFonts w:ascii="Mendl Sans Dusk Regular" w:hAnsi="Mendl Sans Dusk Regular"/>
          <w:b w:val="0"/>
          <w:color w:val="202723"/>
          <w:sz w:val="21"/>
        </w:rPr>
        <w:t xml:space="preserve"> The authoritative location for a defined class of information. </w:t>
      </w:r>
      <w:r>
        <w:rPr>
          <w:rFonts w:ascii="Mendl Sans Dusk Bold" w:hAnsi="Mendl Sans Dusk Bold"/>
          <w:b/>
          <w:color w:val="202723"/>
          <w:sz w:val="21"/>
        </w:rPr>
        <w:t>TBT:</w:t>
      </w:r>
      <w:r>
        <w:rPr>
          <w:rFonts w:ascii="Mendl Sans Dusk Regular" w:hAnsi="Mendl Sans Dusk Regular"/>
          <w:b w:val="0"/>
          <w:color w:val="202723"/>
          <w:sz w:val="21"/>
        </w:rPr>
        <w:t xml:space="preserve"> Toolbox talk used to reinforce approved controls and engage the crew.</w:t>
      </w:r>
    </w:p>
    <w:p>
      <w:pPr>
        <w:pStyle w:val="Heading1"/>
      </w:pPr>
      <w:r>
        <w:rPr>
          <w:rFonts w:ascii="Mendl Sans Dusk Bold" w:hAnsi="Mendl Sans Dusk Bold"/>
          <w:b/>
          <w:color w:val="386851"/>
          <w:sz w:val="32"/>
        </w:rPr>
        <w:t>Appendix G - Official baseline references</w:t>
      </w:r>
    </w:p>
    <w:p>
      <w:pPr>
        <w:pStyle w:val="ListBullet"/>
        <w:spacing w:after="80" w:line="276" w:lineRule="auto"/>
        <w:ind w:left="461" w:hanging="259"/>
      </w:pPr>
      <w:r>
        <w:rPr>
          <w:rFonts w:ascii="Mendl Sans Dusk Regular" w:hAnsi="Mendl Sans Dusk Regular"/>
          <w:b w:val="0"/>
          <w:color w:val="202723"/>
          <w:sz w:val="21"/>
        </w:rPr>
        <w:t xml:space="preserve">Washington construction Accident Prevention Program: </w:t>
      </w:r>
      <w:r>
        <w:rPr>
          <w:rFonts w:ascii="Mendl Sans Dusk Regular" w:hAnsi="Mendl Sans Dusk Regular"/>
          <w:b w:val="0"/>
          <w:color w:val="386851"/>
          <w:sz w:val="21"/>
          <w:u w:val="single"/>
        </w:rPr>
        <w:t>https://app.leg.wa.gov/wac/default.aspx?cite=296-155-110</w:t>
      </w:r>
    </w:p>
    <w:p>
      <w:pPr>
        <w:pStyle w:val="ListBullet"/>
        <w:spacing w:after="80" w:line="276" w:lineRule="auto"/>
        <w:ind w:left="461" w:hanging="259"/>
      </w:pPr>
      <w:r>
        <w:rPr>
          <w:rFonts w:ascii="Mendl Sans Dusk Regular" w:hAnsi="Mendl Sans Dusk Regular"/>
          <w:b w:val="0"/>
          <w:color w:val="202723"/>
          <w:sz w:val="21"/>
        </w:rPr>
        <w:t xml:space="preserve">Oregon safety committees and meetings: </w:t>
      </w:r>
      <w:r>
        <w:rPr>
          <w:rFonts w:ascii="Mendl Sans Dusk Regular" w:hAnsi="Mendl Sans Dusk Regular"/>
          <w:b w:val="0"/>
          <w:color w:val="386851"/>
          <w:sz w:val="21"/>
          <w:u w:val="single"/>
        </w:rPr>
        <w:t>https://osha.oregon.gov/rules/final/division-1/pages/437-001-0760-0765.aspx</w:t>
      </w:r>
    </w:p>
    <w:p>
      <w:pPr>
        <w:pStyle w:val="ListBullet"/>
        <w:spacing w:after="80" w:line="276" w:lineRule="auto"/>
        <w:ind w:left="461" w:hanging="259"/>
      </w:pPr>
      <w:r>
        <w:rPr>
          <w:rFonts w:ascii="Mendl Sans Dusk Regular" w:hAnsi="Mendl Sans Dusk Regular"/>
          <w:b w:val="0"/>
          <w:color w:val="202723"/>
          <w:sz w:val="21"/>
        </w:rPr>
        <w:t xml:space="preserve">OSHA state-plan directory: </w:t>
      </w:r>
      <w:r>
        <w:rPr>
          <w:rFonts w:ascii="Mendl Sans Dusk Regular" w:hAnsi="Mendl Sans Dusk Regular"/>
          <w:b w:val="0"/>
          <w:color w:val="386851"/>
          <w:sz w:val="21"/>
          <w:u w:val="single"/>
        </w:rPr>
        <w:t>https://www.osha.gov/stateplans</w:t>
      </w:r>
    </w:p>
    <w:p>
      <w:pPr>
        <w:pStyle w:val="ListBullet"/>
        <w:spacing w:after="80" w:line="276" w:lineRule="auto"/>
        <w:ind w:left="461" w:hanging="259"/>
      </w:pPr>
      <w:r>
        <w:rPr>
          <w:rFonts w:ascii="Mendl Sans Dusk Regular" w:hAnsi="Mendl Sans Dusk Regular"/>
          <w:b w:val="0"/>
          <w:color w:val="202723"/>
          <w:sz w:val="21"/>
        </w:rPr>
        <w:t xml:space="preserve">OSHA Hazard Communication Standard: </w:t>
      </w:r>
      <w:r>
        <w:rPr>
          <w:rFonts w:ascii="Mendl Sans Dusk Regular" w:hAnsi="Mendl Sans Dusk Regular"/>
          <w:b w:val="0"/>
          <w:color w:val="386851"/>
          <w:sz w:val="21"/>
          <w:u w:val="single"/>
        </w:rPr>
        <w:t>https://www.osha.gov/laws-regs/regulations/standardnumber/1910/1910.1200</w:t>
      </w:r>
    </w:p>
    <w:p>
      <w:pPr>
        <w:pStyle w:val="ListBullet"/>
        <w:spacing w:after="80" w:line="276" w:lineRule="auto"/>
        <w:ind w:left="461" w:hanging="259"/>
      </w:pPr>
      <w:r>
        <w:rPr>
          <w:rFonts w:ascii="Mendl Sans Dusk Regular" w:hAnsi="Mendl Sans Dusk Regular"/>
          <w:b w:val="0"/>
          <w:color w:val="202723"/>
          <w:sz w:val="21"/>
        </w:rPr>
        <w:t xml:space="preserve">OSHA HCS compliance extension: </w:t>
      </w:r>
      <w:r>
        <w:rPr>
          <w:rFonts w:ascii="Mendl Sans Dusk Regular" w:hAnsi="Mendl Sans Dusk Regular"/>
          <w:b w:val="0"/>
          <w:color w:val="386851"/>
          <w:sz w:val="21"/>
          <w:u w:val="single"/>
        </w:rPr>
        <w:t>https://www.osha.gov/hazcom/rulemaking/extension</w:t>
      </w:r>
    </w:p>
    <w:p>
      <w:pPr>
        <w:pStyle w:val="ListBullet"/>
        <w:spacing w:after="80" w:line="276" w:lineRule="auto"/>
        <w:ind w:left="461" w:hanging="259"/>
      </w:pPr>
      <w:r>
        <w:rPr>
          <w:rFonts w:ascii="Mendl Sans Dusk Regular" w:hAnsi="Mendl Sans Dusk Regular"/>
          <w:b w:val="0"/>
          <w:color w:val="202723"/>
          <w:sz w:val="21"/>
        </w:rPr>
        <w:t xml:space="preserve">OSHA Outreach Training Program: </w:t>
      </w:r>
      <w:r>
        <w:rPr>
          <w:rFonts w:ascii="Mendl Sans Dusk Regular" w:hAnsi="Mendl Sans Dusk Regular"/>
          <w:b w:val="0"/>
          <w:color w:val="386851"/>
          <w:sz w:val="21"/>
          <w:u w:val="single"/>
        </w:rPr>
        <w:t>https://www.osha.gov/training/outreach</w:t>
      </w:r>
    </w:p>
    <w:p>
      <w:pPr>
        <w:pStyle w:val="ListBullet"/>
        <w:spacing w:after="80" w:line="276" w:lineRule="auto"/>
        <w:ind w:left="461" w:hanging="259"/>
      </w:pPr>
      <w:r>
        <w:rPr>
          <w:rFonts w:ascii="Mendl Sans Dusk Regular" w:hAnsi="Mendl Sans Dusk Regular"/>
          <w:b w:val="0"/>
          <w:color w:val="202723"/>
          <w:sz w:val="21"/>
        </w:rPr>
        <w:t xml:space="preserve">Washington lien notice statute: </w:t>
      </w:r>
      <w:r>
        <w:rPr>
          <w:rFonts w:ascii="Mendl Sans Dusk Regular" w:hAnsi="Mendl Sans Dusk Regular"/>
          <w:b w:val="0"/>
          <w:color w:val="386851"/>
          <w:sz w:val="21"/>
          <w:u w:val="single"/>
        </w:rPr>
        <w:t>https://app.leg.wa.gov/rcw/default.aspx?cite=60.04.031</w:t>
      </w:r>
    </w:p>
    <w:p>
      <w:pPr>
        <w:pStyle w:val="ListBullet"/>
        <w:spacing w:after="80" w:line="276" w:lineRule="auto"/>
        <w:ind w:left="461" w:hanging="259"/>
      </w:pPr>
      <w:r>
        <w:rPr>
          <w:rFonts w:ascii="Mendl Sans Dusk Regular" w:hAnsi="Mendl Sans Dusk Regular"/>
          <w:b w:val="0"/>
          <w:color w:val="202723"/>
          <w:sz w:val="21"/>
        </w:rPr>
        <w:t xml:space="preserve">NIST Cybersecurity Framework 2.0: </w:t>
      </w:r>
      <w:r>
        <w:rPr>
          <w:rFonts w:ascii="Mendl Sans Dusk Regular" w:hAnsi="Mendl Sans Dusk Regular"/>
          <w:b w:val="0"/>
          <w:color w:val="386851"/>
          <w:sz w:val="21"/>
          <w:u w:val="single"/>
        </w:rPr>
        <w:t>https://www.nist.gov/publications/nist-cybersecurity-framework-csf-20</w:t>
      </w:r>
    </w:p>
    <w:p>
      <w:pPr>
        <w:spacing w:after="120"/>
        <w:pBdr>
          <w:bottom w:val="single" w:sz="8" w:color="BD9264"/>
        </w:pBdr>
      </w:pPr>
    </w:p>
    <w:p>
      <w:r>
        <w:rPr>
          <w:rFonts w:ascii="Mendl Sans Dusk Bold" w:hAnsi="Mendl Sans Dusk Bold"/>
          <w:b/>
          <w:color w:val="202723"/>
          <w:sz w:val="21"/>
        </w:rPr>
        <w:t>Approval record</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337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Role</w:t>
            </w:r>
          </w:p>
        </w:tc>
        <w:tc>
          <w:tcPr>
            <w:tcW w:type="dxa" w:w="131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Name</w:t>
            </w:r>
          </w:p>
        </w:tc>
        <w:tc>
          <w:tcPr>
            <w:tcW w:type="dxa" w:w="337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Decision</w:t>
            </w:r>
          </w:p>
        </w:tc>
        <w:tc>
          <w:tcPr>
            <w:tcW w:type="dxa" w:w="1310"/>
            <w:vAlign w:val="center"/>
            <w:tcMar>
              <w:top w:w="80" w:type="dxa"/>
              <w:start w:w="120" w:type="dxa"/>
              <w:bottom w:w="80" w:type="dxa"/>
              <w:end w:w="120" w:type="dxa"/>
            </w:tcMar>
            <w:shd w:fill="386851"/>
          </w:tcPr>
          <w:p>
            <w:pPr>
              <w:spacing w:after="0"/>
            </w:pPr>
            <w:r>
              <w:rPr>
                <w:rFonts w:ascii="Mendl Sans Dusk Bold" w:hAnsi="Mendl Sans Dusk Bold"/>
                <w:b/>
                <w:color w:val="FFFFFF"/>
                <w:sz w:val="16"/>
              </w:rPr>
              <w:t>Date</w:t>
            </w:r>
          </w:p>
        </w:tc>
      </w:tr>
      <w:tr>
        <w:tc>
          <w:tcPr>
            <w:tcW w:type="dxa" w:w="3370"/>
            <w:vAlign w:val="center"/>
            <w:tcMar>
              <w:top w:w="80" w:type="dxa"/>
              <w:start w:w="120" w:type="dxa"/>
              <w:bottom w:w="80" w:type="dxa"/>
              <w:end w:w="120" w:type="dxa"/>
            </w:tcMar>
          </w:tcPr>
          <w:p>
            <w:pPr>
              <w:spacing w:after="0"/>
            </w:pPr>
            <w:r>
              <w:rPr>
                <w:rFonts w:ascii="Mendl Sans Dusk Regular" w:hAnsi="Mendl Sans Dusk Regular"/>
                <w:b w:val="0"/>
                <w:color w:val="202723"/>
                <w:sz w:val="16"/>
              </w:rPr>
              <w:t>Owner/CEO</w:t>
            </w:r>
          </w:p>
        </w:tc>
        <w:tc>
          <w:tcPr>
            <w:tcW w:type="dxa" w:w="1310"/>
            <w:vAlign w:val="center"/>
            <w:tcMar>
              <w:top w:w="80" w:type="dxa"/>
              <w:start w:w="120" w:type="dxa"/>
              <w:bottom w:w="80" w:type="dxa"/>
              <w:end w:w="120" w:type="dxa"/>
            </w:tcMar>
          </w:tcPr>
          <w:p>
            <w:pPr>
              <w:spacing w:after="0"/>
            </w:pPr>
          </w:p>
        </w:tc>
        <w:tc>
          <w:tcPr>
            <w:tcW w:type="dxa" w:w="3370"/>
            <w:vAlign w:val="center"/>
            <w:tcMar>
              <w:top w:w="80" w:type="dxa"/>
              <w:start w:w="120" w:type="dxa"/>
              <w:bottom w:w="80" w:type="dxa"/>
              <w:end w:w="120" w:type="dxa"/>
            </w:tcMar>
          </w:tcPr>
          <w:p>
            <w:pPr>
              <w:spacing w:after="0"/>
            </w:pPr>
            <w:r>
              <w:rPr>
                <w:rFonts w:ascii="Mendl Sans Dusk Regular" w:hAnsi="Mendl Sans Dusk Regular"/>
                <w:b w:val="0"/>
                <w:color w:val="202723"/>
                <w:sz w:val="16"/>
              </w:rPr>
              <w:t>Approve / Reject</w:t>
            </w:r>
          </w:p>
        </w:tc>
        <w:tc>
          <w:tcPr>
            <w:tcW w:type="dxa" w:w="1310"/>
            <w:vAlign w:val="center"/>
            <w:tcMar>
              <w:top w:w="80" w:type="dxa"/>
              <w:start w:w="120" w:type="dxa"/>
              <w:bottom w:w="80" w:type="dxa"/>
              <w:end w:w="120" w:type="dxa"/>
            </w:tcMar>
          </w:tcPr>
          <w:p>
            <w:pPr>
              <w:spacing w:after="0"/>
            </w:pPr>
          </w:p>
        </w:tc>
      </w:tr>
      <w:tr>
        <w:tc>
          <w:tcPr>
            <w:tcW w:type="dxa" w:w="337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COO</w:t>
            </w:r>
          </w:p>
        </w:tc>
        <w:tc>
          <w:tcPr>
            <w:tcW w:type="dxa" w:w="1310"/>
            <w:vAlign w:val="center"/>
            <w:tcMar>
              <w:top w:w="80" w:type="dxa"/>
              <w:start w:w="120" w:type="dxa"/>
              <w:bottom w:w="80" w:type="dxa"/>
              <w:end w:w="120" w:type="dxa"/>
            </w:tcMar>
            <w:shd w:fill="F3F6F3"/>
          </w:tcPr>
          <w:p>
            <w:pPr>
              <w:spacing w:after="0"/>
            </w:pPr>
          </w:p>
        </w:tc>
        <w:tc>
          <w:tcPr>
            <w:tcW w:type="dxa" w:w="337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Recommend / Revise</w:t>
            </w:r>
          </w:p>
        </w:tc>
        <w:tc>
          <w:tcPr>
            <w:tcW w:type="dxa" w:w="1310"/>
            <w:vAlign w:val="center"/>
            <w:tcMar>
              <w:top w:w="80" w:type="dxa"/>
              <w:start w:w="120" w:type="dxa"/>
              <w:bottom w:w="80" w:type="dxa"/>
              <w:end w:w="120" w:type="dxa"/>
            </w:tcMar>
            <w:shd w:fill="F3F6F3"/>
          </w:tcPr>
          <w:p>
            <w:pPr>
              <w:spacing w:after="0"/>
            </w:pPr>
          </w:p>
        </w:tc>
      </w:tr>
      <w:tr>
        <w:tc>
          <w:tcPr>
            <w:tcW w:type="dxa" w:w="3370"/>
            <w:vAlign w:val="center"/>
            <w:tcMar>
              <w:top w:w="80" w:type="dxa"/>
              <w:start w:w="120" w:type="dxa"/>
              <w:bottom w:w="80" w:type="dxa"/>
              <w:end w:w="120" w:type="dxa"/>
            </w:tcMar>
          </w:tcPr>
          <w:p>
            <w:pPr>
              <w:spacing w:after="0"/>
            </w:pPr>
            <w:r>
              <w:rPr>
                <w:rFonts w:ascii="Mendl Sans Dusk Regular" w:hAnsi="Mendl Sans Dusk Regular"/>
                <w:b w:val="0"/>
                <w:color w:val="202723"/>
                <w:sz w:val="16"/>
              </w:rPr>
              <w:t>CFO/financial lead</w:t>
            </w:r>
          </w:p>
        </w:tc>
        <w:tc>
          <w:tcPr>
            <w:tcW w:type="dxa" w:w="1310"/>
            <w:vAlign w:val="center"/>
            <w:tcMar>
              <w:top w:w="80" w:type="dxa"/>
              <w:start w:w="120" w:type="dxa"/>
              <w:bottom w:w="80" w:type="dxa"/>
              <w:end w:w="120" w:type="dxa"/>
            </w:tcMar>
          </w:tcPr>
          <w:p>
            <w:pPr>
              <w:spacing w:after="0"/>
            </w:pPr>
          </w:p>
        </w:tc>
        <w:tc>
          <w:tcPr>
            <w:tcW w:type="dxa" w:w="3370"/>
            <w:vAlign w:val="center"/>
            <w:tcMar>
              <w:top w:w="80" w:type="dxa"/>
              <w:start w:w="120" w:type="dxa"/>
              <w:bottom w:w="80" w:type="dxa"/>
              <w:end w:w="120" w:type="dxa"/>
            </w:tcMar>
          </w:tcPr>
          <w:p>
            <w:pPr>
              <w:spacing w:after="0"/>
            </w:pPr>
            <w:r>
              <w:rPr>
                <w:rFonts w:ascii="Mendl Sans Dusk Regular" w:hAnsi="Mendl Sans Dusk Regular"/>
                <w:b w:val="0"/>
                <w:color w:val="202723"/>
                <w:sz w:val="16"/>
              </w:rPr>
              <w:t>Concur / Revise</w:t>
            </w:r>
          </w:p>
        </w:tc>
        <w:tc>
          <w:tcPr>
            <w:tcW w:type="dxa" w:w="1310"/>
            <w:vAlign w:val="center"/>
            <w:tcMar>
              <w:top w:w="80" w:type="dxa"/>
              <w:start w:w="120" w:type="dxa"/>
              <w:bottom w:w="80" w:type="dxa"/>
              <w:end w:w="120" w:type="dxa"/>
            </w:tcMar>
          </w:tcPr>
          <w:p>
            <w:pPr>
              <w:spacing w:after="0"/>
            </w:pPr>
          </w:p>
        </w:tc>
      </w:tr>
      <w:tr>
        <w:tc>
          <w:tcPr>
            <w:tcW w:type="dxa" w:w="337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HR lead</w:t>
            </w:r>
          </w:p>
        </w:tc>
        <w:tc>
          <w:tcPr>
            <w:tcW w:type="dxa" w:w="1310"/>
            <w:vAlign w:val="center"/>
            <w:tcMar>
              <w:top w:w="80" w:type="dxa"/>
              <w:start w:w="120" w:type="dxa"/>
              <w:bottom w:w="80" w:type="dxa"/>
              <w:end w:w="120" w:type="dxa"/>
            </w:tcMar>
            <w:shd w:fill="F3F6F3"/>
          </w:tcPr>
          <w:p>
            <w:pPr>
              <w:spacing w:after="0"/>
            </w:pPr>
          </w:p>
        </w:tc>
        <w:tc>
          <w:tcPr>
            <w:tcW w:type="dxa" w:w="337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Concur / Revise</w:t>
            </w:r>
          </w:p>
        </w:tc>
        <w:tc>
          <w:tcPr>
            <w:tcW w:type="dxa" w:w="1310"/>
            <w:vAlign w:val="center"/>
            <w:tcMar>
              <w:top w:w="80" w:type="dxa"/>
              <w:start w:w="120" w:type="dxa"/>
              <w:bottom w:w="80" w:type="dxa"/>
              <w:end w:w="120" w:type="dxa"/>
            </w:tcMar>
            <w:shd w:fill="F3F6F3"/>
          </w:tcPr>
          <w:p>
            <w:pPr>
              <w:spacing w:after="0"/>
            </w:pPr>
          </w:p>
        </w:tc>
      </w:tr>
      <w:tr>
        <w:tc>
          <w:tcPr>
            <w:tcW w:type="dxa" w:w="3370"/>
            <w:vAlign w:val="center"/>
            <w:tcMar>
              <w:top w:w="80" w:type="dxa"/>
              <w:start w:w="120" w:type="dxa"/>
              <w:bottom w:w="80" w:type="dxa"/>
              <w:end w:w="120" w:type="dxa"/>
            </w:tcMar>
          </w:tcPr>
          <w:p>
            <w:pPr>
              <w:spacing w:after="0"/>
            </w:pPr>
            <w:r>
              <w:rPr>
                <w:rFonts w:ascii="Mendl Sans Dusk Regular" w:hAnsi="Mendl Sans Dusk Regular"/>
                <w:b w:val="0"/>
                <w:color w:val="202723"/>
                <w:sz w:val="16"/>
              </w:rPr>
              <w:t>Safety lead</w:t>
            </w:r>
          </w:p>
        </w:tc>
        <w:tc>
          <w:tcPr>
            <w:tcW w:type="dxa" w:w="1310"/>
            <w:vAlign w:val="center"/>
            <w:tcMar>
              <w:top w:w="80" w:type="dxa"/>
              <w:start w:w="120" w:type="dxa"/>
              <w:bottom w:w="80" w:type="dxa"/>
              <w:end w:w="120" w:type="dxa"/>
            </w:tcMar>
          </w:tcPr>
          <w:p>
            <w:pPr>
              <w:spacing w:after="0"/>
            </w:pPr>
          </w:p>
        </w:tc>
        <w:tc>
          <w:tcPr>
            <w:tcW w:type="dxa" w:w="3370"/>
            <w:vAlign w:val="center"/>
            <w:tcMar>
              <w:top w:w="80" w:type="dxa"/>
              <w:start w:w="120" w:type="dxa"/>
              <w:bottom w:w="80" w:type="dxa"/>
              <w:end w:w="120" w:type="dxa"/>
            </w:tcMar>
          </w:tcPr>
          <w:p>
            <w:pPr>
              <w:spacing w:after="0"/>
            </w:pPr>
            <w:r>
              <w:rPr>
                <w:rFonts w:ascii="Mendl Sans Dusk Regular" w:hAnsi="Mendl Sans Dusk Regular"/>
                <w:b w:val="0"/>
                <w:color w:val="202723"/>
                <w:sz w:val="16"/>
              </w:rPr>
              <w:t>Concur / Revise</w:t>
            </w:r>
          </w:p>
        </w:tc>
        <w:tc>
          <w:tcPr>
            <w:tcW w:type="dxa" w:w="1310"/>
            <w:vAlign w:val="center"/>
            <w:tcMar>
              <w:top w:w="80" w:type="dxa"/>
              <w:start w:w="120" w:type="dxa"/>
              <w:bottom w:w="80" w:type="dxa"/>
              <w:end w:w="120" w:type="dxa"/>
            </w:tcMar>
          </w:tcPr>
          <w:p>
            <w:pPr>
              <w:spacing w:after="0"/>
            </w:pPr>
          </w:p>
        </w:tc>
      </w:tr>
      <w:tr>
        <w:tc>
          <w:tcPr>
            <w:tcW w:type="dxa" w:w="337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IT lead</w:t>
            </w:r>
          </w:p>
        </w:tc>
        <w:tc>
          <w:tcPr>
            <w:tcW w:type="dxa" w:w="1310"/>
            <w:vAlign w:val="center"/>
            <w:tcMar>
              <w:top w:w="80" w:type="dxa"/>
              <w:start w:w="120" w:type="dxa"/>
              <w:bottom w:w="80" w:type="dxa"/>
              <w:end w:w="120" w:type="dxa"/>
            </w:tcMar>
            <w:shd w:fill="F3F6F3"/>
          </w:tcPr>
          <w:p>
            <w:pPr>
              <w:spacing w:after="0"/>
            </w:pPr>
          </w:p>
        </w:tc>
        <w:tc>
          <w:tcPr>
            <w:tcW w:type="dxa" w:w="3370"/>
            <w:vAlign w:val="center"/>
            <w:tcMar>
              <w:top w:w="80" w:type="dxa"/>
              <w:start w:w="120" w:type="dxa"/>
              <w:bottom w:w="80" w:type="dxa"/>
              <w:end w:w="120" w:type="dxa"/>
            </w:tcMar>
            <w:shd w:fill="F3F6F3"/>
          </w:tcPr>
          <w:p>
            <w:pPr>
              <w:spacing w:after="0"/>
            </w:pPr>
            <w:r>
              <w:rPr>
                <w:rFonts w:ascii="Mendl Sans Dusk Regular" w:hAnsi="Mendl Sans Dusk Regular"/>
                <w:b w:val="0"/>
                <w:color w:val="202723"/>
                <w:sz w:val="16"/>
              </w:rPr>
              <w:t>Concur / Revise</w:t>
            </w:r>
          </w:p>
        </w:tc>
        <w:tc>
          <w:tcPr>
            <w:tcW w:type="dxa" w:w="1310"/>
            <w:vAlign w:val="center"/>
            <w:tcMar>
              <w:top w:w="80" w:type="dxa"/>
              <w:start w:w="120" w:type="dxa"/>
              <w:bottom w:w="80" w:type="dxa"/>
              <w:end w:w="120" w:type="dxa"/>
            </w:tcMar>
            <w:shd w:fill="F3F6F3"/>
          </w:tcPr>
          <w:p>
            <w:pPr>
              <w:spacing w:after="0"/>
            </w:pPr>
          </w:p>
        </w:tc>
      </w:tr>
    </w:tbl>
    <w:p>
      <w:pPr>
        <w:spacing w:after="20"/>
      </w:pPr>
    </w:p>
    <w:p>
      <w:r>
        <w:rPr>
          <w:rFonts w:ascii="Mendl Sans Dusk Bold" w:hAnsi="Mendl Sans Dusk Bold"/>
          <w:b/>
          <w:color w:val="202723"/>
          <w:sz w:val="21"/>
        </w:rPr>
        <w:t>Professional-review note:</w:t>
      </w:r>
      <w:r>
        <w:rPr>
          <w:rFonts w:ascii="Mendl Sans Dusk Regular" w:hAnsi="Mendl Sans Dusk Regular"/>
          <w:b w:val="0"/>
          <w:color w:val="202723"/>
          <w:sz w:val="21"/>
        </w:rPr>
        <w:t xml:space="preserve"> This management-system draft does not certify legal or regulatory compliance. MH Construction must validate it against current law, contracts, manufacturer instructions, engineered plans and actual operations before approval or field use.</w:t>
      </w:r>
    </w:p>
    <w:sectPr w:rsidR="00FC693F" w:rsidRPr="0006063C" w:rsidSect="00034616">
      <w:headerReference w:type="default" r:id="rId9"/>
      <w:footerReference w:type="default" r:id="rId10"/>
      <w:headerReference w:type="first" r:id="rId15"/>
      <w:footerReference w:type="first" r:id="rId16"/>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color w:val="667069"/>
        <w:sz w:val="16"/>
      </w:rP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endl Sans Dusk Medium" w:hAnsi="Mendl Sans Dusk Medium"/>
        <w:b/>
        <w:color w:val="386851"/>
        <w:sz w:val="16"/>
      </w:rPr>
      <w:t>MH CONSTRUCTION | ENTERPRISE MANAGEMENT SYSTEM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Mendl Sans Dusk Medium" w:hAnsi="Mendl Sans Dusk Medium"/>
      <w:b/>
      <w:bCs/>
      <w:i/>
      <w:iCs/>
      <w:color w:val="20272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endl Sans Dusk Medium" w:hAnsi="Mendl Sans Dusk Medium"/>
      <w:b/>
      <w:i/>
      <w:iCs/>
      <w:color w:val="66706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2.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customXml" Target="../customXml/item4.xml"/><Relationship Id="rId15" Type="http://schemas.openxmlformats.org/officeDocument/2006/relationships/header" Target="header2.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01D9A08-A6F9-4CDD-BE61-C9F2283C2E0D}"/>
</file>

<file path=customXml/itemProps3.xml><?xml version="1.0" encoding="utf-8"?>
<ds:datastoreItem xmlns:ds="http://schemas.openxmlformats.org/officeDocument/2006/customXml" ds:itemID="{135619D6-7742-4C83-8C74-C4F8BCD9DE10}"/>
</file>

<file path=customXml/itemProps4.xml><?xml version="1.0" encoding="utf-8"?>
<ds:datastoreItem xmlns:ds="http://schemas.openxmlformats.org/officeDocument/2006/customXml" ds:itemID="{F6EC0543-6B80-4476-8FC0-1CF8E4D73715}"/>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Bible</dc:title>
  <dc:subject>Enterprise management system</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