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3"/>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Enterprise Master Document Index</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CORE DOCTRINE\nControlled file: mh-enterprise-master-document-index-v1-0-draft.docx\nLifecycle: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jc w:val="center"/>
      </w:pPr>
      <w:r>
        <w:rPr>
          <w:rFonts w:ascii="Mendl Sans Dusk Regular" w:hAnsi="Mendl Sans Dusk Regular" w:eastAsia="Mendl Sans Dusk Regular" w:cs="Mendl Sans Dusk Regular"/>
          <w:b/>
          <w:color w:val="386851"/>
          <w:sz w:val="22"/>
        </w:rPr>
        <w:t>MH CONSTRUCTION, INC.</w:t>
        <w:br/>
        <w:t>3111 N. Capitol Ave., Pasco, WA 99301 | (509) 308-6489 | office@mhc-gc.com</w:t>
      </w:r>
    </w:p>
    <w:p>
      <w:pPr>
        <w:widowControl/>
        <w:jc w:val="center"/>
      </w:pPr>
      <w:r>
        <w:rPr>
          <w:rFonts w:ascii="Mendl Sans Dusk Regular" w:hAnsi="Mendl Sans Dusk Regular" w:cs="Mendl Sans Dusk Regular" w:eastAsia="Mendl Sans Dusk Regular"/>
          <w:b/>
          <w:i w:val="0"/>
          <w:color w:val="000000"/>
          <w:sz w:val="22"/>
        </w:rPr>
        <w:t>MH CONSTRUCTION, INC.</w:t>
      </w:r>
    </w:p>
    <w:p>
      <w:pPr>
        <w:widowControl/>
        <w:jc w:val="center"/>
      </w:pPr>
      <w:r>
        <w:rPr>
          <w:rFonts w:ascii="Mendl Sans Dusk Regular" w:hAnsi="Mendl Sans Dusk Regular" w:cs="Mendl Sans Dusk Regular" w:eastAsia="Mendl Sans Dusk Regular"/>
          <w:b/>
          <w:i w:val="0"/>
          <w:color w:val="000000"/>
          <w:sz w:val="22"/>
        </w:rPr>
        <w:t>ENTERPRISE MASTER DOCUMENT INDEX</w:t>
        <w:br/>
        <w:t>Revision 1.0</w:t>
      </w:r>
    </w:p>
    <w:p>
      <w:pPr>
        <w:widowControl/>
      </w:pPr>
      <w:r>
        <w:rPr>
          <w:rFonts w:ascii="Mendl Sans Dusk Regular" w:hAnsi="Mendl Sans Dusk Regular" w:cs="Mendl Sans Dusk Regular" w:eastAsia="Mendl Sans Dusk Regular"/>
          <w:b w:val="0"/>
          <w:i w:val="0"/>
          <w:color w:val="000000"/>
          <w:sz w:val="22"/>
        </w:rPr>
        <w:br w:type="page"/>
      </w:r>
    </w:p>
    <w:p>
      <w:pPr>
        <w:widowControl/>
      </w:pPr>
      <w:r>
        <w:rPr>
          <w:rFonts w:ascii="Mendl Sans Dusk Regular" w:hAnsi="Mendl Sans Dusk Regular" w:cs="Mendl Sans Dusk Regular" w:eastAsia="Mendl Sans Dusk Regular"/>
          <w:b/>
          <w:i w:val="0"/>
          <w:color w:val="000000"/>
          <w:sz w:val="22"/>
        </w:rPr>
        <w:t>MDI-01.0: PURPOSE AND ARCHITECTURE</w:t>
      </w:r>
    </w:p>
    <w:p>
      <w:pPr>
        <w:widowControl/>
      </w:pPr>
      <w:r>
        <w:rPr>
          <w:rFonts w:ascii="Mendl Sans Dusk Regular" w:hAnsi="Mendl Sans Dusk Regular" w:cs="Mendl Sans Dusk Regular" w:eastAsia="Mendl Sans Dusk Regular"/>
          <w:b/>
          <w:i w:val="0"/>
          <w:color w:val="000000"/>
          <w:sz w:val="22"/>
        </w:rPr>
        <w:t>DIRECTIVE: MDI-01-DIR-01: This Master Document Index serves as the single source of truth for the entire MH Construction document ecosystem. It categorizes all 22 active document families hierarchically, defining their prefix codes, primary owners, and enterprise role.</w:t>
      </w:r>
    </w:p>
    <w:p>
      <w:pPr>
        <w:widowControl/>
      </w:pPr>
      <w:r>
        <w:rPr>
          <w:rFonts w:ascii="Mendl Sans Dusk Regular" w:hAnsi="Mendl Sans Dusk Regular" w:cs="Mendl Sans Dusk Regular" w:eastAsia="Mendl Sans Dusk Regular"/>
          <w:b/>
          <w:i w:val="0"/>
          <w:color w:val="000000"/>
          <w:sz w:val="22"/>
        </w:rPr>
        <w:t>TIER 1: FOUNDATIONAL DOCTRINE &amp; GOVERNANCE</w:t>
      </w:r>
    </w:p>
    <w:p>
      <w:pPr>
        <w:widowControl/>
      </w:pPr>
      <w:r>
        <w:rPr>
          <w:rFonts w:ascii="Mendl Sans Dusk Regular" w:hAnsi="Mendl Sans Dusk Regular" w:cs="Mendl Sans Dusk Regular" w:eastAsia="Mendl Sans Dusk Regular"/>
          <w:b w:val="0"/>
          <w:i/>
          <w:color w:val="000000"/>
          <w:sz w:val="22"/>
        </w:rPr>
        <w:t>Documents that establish the corporate structure, risk defense, and operational philosophy.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Prefix</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Document Title</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Primary Owner</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Enterprise Role</w:t>
            </w:r>
          </w:p>
        </w:tc>
      </w:tr>
      <w:tr>
        <w:tc>
          <w:tcPr>
            <w:tcW w:type="dxa" w:w="2160"/>
          </w:tcPr>
          <w:p>
            <w:pPr>
              <w:widowControl/>
            </w:pPr>
            <w:r>
              <w:rPr>
                <w:rFonts w:ascii="Mendl Sans Dusk Regular" w:hAnsi="Mendl Sans Dusk Regular" w:cs="Mendl Sans Dusk Regular" w:eastAsia="Mendl Sans Dusk Regular"/>
                <w:b w:val="0"/>
                <w:i w:val="0"/>
                <w:color w:val="000000"/>
                <w:sz w:val="20"/>
              </w:rPr>
              <w:t>EHB</w:t>
            </w:r>
          </w:p>
        </w:tc>
        <w:tc>
          <w:tcPr>
            <w:tcW w:type="dxa" w:w="2160"/>
          </w:tcPr>
          <w:p>
            <w:pPr>
              <w:widowControl/>
            </w:pPr>
            <w:r>
              <w:rPr>
                <w:rFonts w:ascii="Mendl Sans Dusk Regular" w:hAnsi="Mendl Sans Dusk Regular" w:cs="Mendl Sans Dusk Regular" w:eastAsia="Mendl Sans Dusk Regular"/>
                <w:b w:val="0"/>
                <w:i w:val="0"/>
                <w:color w:val="000000"/>
                <w:sz w:val="20"/>
              </w:rPr>
              <w:t>Employee Handbook</w:t>
            </w:r>
          </w:p>
        </w:tc>
        <w:tc>
          <w:tcPr>
            <w:tcW w:type="dxa" w:w="2160"/>
          </w:tcPr>
          <w:p>
            <w:pPr>
              <w:widowControl/>
            </w:pPr>
            <w:r>
              <w:rPr>
                <w:rFonts w:ascii="Mendl Sans Dusk Regular" w:hAnsi="Mendl Sans Dusk Regular" w:cs="Mendl Sans Dusk Regular" w:eastAsia="Mendl Sans Dusk Regular"/>
                <w:b w:val="0"/>
                <w:i w:val="0"/>
                <w:color w:val="000000"/>
                <w:sz w:val="20"/>
              </w:rPr>
              <w:t>CEO / HR Director</w:t>
            </w:r>
          </w:p>
        </w:tc>
        <w:tc>
          <w:tcPr>
            <w:tcW w:type="dxa" w:w="2160"/>
          </w:tcPr>
          <w:p>
            <w:pPr>
              <w:widowControl/>
            </w:pPr>
            <w:r>
              <w:rPr>
                <w:rFonts w:ascii="Mendl Sans Dusk Regular" w:hAnsi="Mendl Sans Dusk Regular" w:cs="Mendl Sans Dusk Regular" w:eastAsia="Mendl Sans Dusk Regular"/>
                <w:b w:val="0"/>
                <w:i w:val="0"/>
                <w:color w:val="000000"/>
                <w:sz w:val="20"/>
              </w:rPr>
              <w:t>Establishes org structure, roles, HR policies, and employee conduct.</w:t>
            </w:r>
          </w:p>
        </w:tc>
      </w:tr>
      <w:tr>
        <w:tc>
          <w:tcPr>
            <w:tcW w:type="dxa" w:w="2160"/>
          </w:tcPr>
          <w:p>
            <w:pPr>
              <w:widowControl/>
            </w:pPr>
            <w:r>
              <w:rPr>
                <w:rFonts w:ascii="Mendl Sans Dusk Regular" w:hAnsi="Mendl Sans Dusk Regular" w:cs="Mendl Sans Dusk Regular" w:eastAsia="Mendl Sans Dusk Regular"/>
                <w:b w:val="0"/>
                <w:i w:val="0"/>
                <w:color w:val="000000"/>
                <w:sz w:val="20"/>
              </w:rPr>
              <w:t>OPS</w:t>
            </w:r>
          </w:p>
        </w:tc>
        <w:tc>
          <w:tcPr>
            <w:tcW w:type="dxa" w:w="2160"/>
          </w:tcPr>
          <w:p>
            <w:pPr>
              <w:widowControl/>
            </w:pPr>
            <w:r>
              <w:rPr>
                <w:rFonts w:ascii="Mendl Sans Dusk Regular" w:hAnsi="Mendl Sans Dusk Regular" w:cs="Mendl Sans Dusk Regular" w:eastAsia="Mendl Sans Dusk Regular"/>
                <w:b w:val="0"/>
                <w:i w:val="0"/>
                <w:color w:val="000000"/>
                <w:sz w:val="20"/>
              </w:rPr>
              <w:t>Operations Manual</w:t>
            </w:r>
          </w:p>
        </w:tc>
        <w:tc>
          <w:tcPr>
            <w:tcW w:type="dxa" w:w="2160"/>
          </w:tcPr>
          <w:p>
            <w:pPr>
              <w:widowControl/>
            </w:pPr>
            <w:r>
              <w:rPr>
                <w:rFonts w:ascii="Mendl Sans Dusk Regular" w:hAnsi="Mendl Sans Dusk Regular" w:cs="Mendl Sans Dusk Regular" w:eastAsia="Mendl Sans Dusk Regular"/>
                <w:b w:val="0"/>
                <w:i w:val="0"/>
                <w:color w:val="000000"/>
                <w:sz w:val="20"/>
              </w:rPr>
              <w:t>COO</w:t>
            </w:r>
          </w:p>
        </w:tc>
        <w:tc>
          <w:tcPr>
            <w:tcW w:type="dxa" w:w="2160"/>
          </w:tcPr>
          <w:p>
            <w:pPr>
              <w:widowControl/>
            </w:pPr>
            <w:r>
              <w:rPr>
                <w:rFonts w:ascii="Mendl Sans Dusk Regular" w:hAnsi="Mendl Sans Dusk Regular" w:cs="Mendl Sans Dusk Regular" w:eastAsia="Mendl Sans Dusk Regular"/>
                <w:b w:val="0"/>
                <w:i w:val="0"/>
                <w:color w:val="000000"/>
                <w:sz w:val="20"/>
              </w:rPr>
              <w:t>The central nervous system. Defines the Dean 3-tier architecture and master operating procedures.</w:t>
            </w:r>
          </w:p>
        </w:tc>
      </w:tr>
      <w:tr>
        <w:tc>
          <w:tcPr>
            <w:tcW w:type="dxa" w:w="2160"/>
          </w:tcPr>
          <w:p>
            <w:pPr>
              <w:widowControl/>
            </w:pPr>
            <w:r>
              <w:rPr>
                <w:rFonts w:ascii="Mendl Sans Dusk Regular" w:hAnsi="Mendl Sans Dusk Regular" w:cs="Mendl Sans Dusk Regular" w:eastAsia="Mendl Sans Dusk Regular"/>
                <w:b w:val="0"/>
                <w:i w:val="0"/>
                <w:color w:val="000000"/>
                <w:sz w:val="20"/>
              </w:rPr>
              <w:t>RM</w:t>
            </w:r>
          </w:p>
        </w:tc>
        <w:tc>
          <w:tcPr>
            <w:tcW w:type="dxa" w:w="2160"/>
          </w:tcPr>
          <w:p>
            <w:pPr>
              <w:widowControl/>
            </w:pPr>
            <w:r>
              <w:rPr>
                <w:rFonts w:ascii="Mendl Sans Dusk Regular" w:hAnsi="Mendl Sans Dusk Regular" w:cs="Mendl Sans Dusk Regular" w:eastAsia="Mendl Sans Dusk Regular"/>
                <w:b w:val="0"/>
                <w:i w:val="0"/>
                <w:color w:val="000000"/>
                <w:sz w:val="20"/>
              </w:rPr>
              <w:t>Corporate Risk Management Playbook</w:t>
            </w:r>
          </w:p>
        </w:tc>
        <w:tc>
          <w:tcPr>
            <w:tcW w:type="dxa" w:w="2160"/>
          </w:tcPr>
          <w:p>
            <w:pPr>
              <w:widowControl/>
            </w:pPr>
            <w:r>
              <w:rPr>
                <w:rFonts w:ascii="Mendl Sans Dusk Regular" w:hAnsi="Mendl Sans Dusk Regular" w:cs="Mendl Sans Dusk Regular" w:eastAsia="Mendl Sans Dusk Regular"/>
                <w:b w:val="0"/>
                <w:i w:val="0"/>
                <w:color w:val="000000"/>
                <w:sz w:val="20"/>
              </w:rPr>
              <w:t>CEO / COO</w:t>
            </w:r>
          </w:p>
        </w:tc>
        <w:tc>
          <w:tcPr>
            <w:tcW w:type="dxa" w:w="2160"/>
          </w:tcPr>
          <w:p>
            <w:pPr>
              <w:widowControl/>
            </w:pPr>
            <w:r>
              <w:rPr>
                <w:rFonts w:ascii="Mendl Sans Dusk Regular" w:hAnsi="Mendl Sans Dusk Regular" w:cs="Mendl Sans Dusk Regular" w:eastAsia="Mendl Sans Dusk Regular"/>
                <w:b w:val="0"/>
                <w:i w:val="0"/>
                <w:color w:val="000000"/>
                <w:sz w:val="20"/>
              </w:rPr>
              <w:t>Defends against contractual exposure, key-person loss, and liability risks.</w:t>
            </w:r>
          </w:p>
        </w:tc>
      </w:tr>
      <w:tr>
        <w:tc>
          <w:tcPr>
            <w:tcW w:type="dxa" w:w="2160"/>
          </w:tcPr>
          <w:p>
            <w:pPr>
              <w:widowControl/>
            </w:pPr>
            <w:r>
              <w:rPr>
                <w:rFonts w:ascii="Mendl Sans Dusk Regular" w:hAnsi="Mendl Sans Dusk Regular" w:cs="Mendl Sans Dusk Regular" w:eastAsia="Mendl Sans Dusk Regular"/>
                <w:b w:val="0"/>
                <w:i w:val="0"/>
                <w:color w:val="000000"/>
                <w:sz w:val="20"/>
              </w:rPr>
              <w:t>HR</w:t>
            </w:r>
          </w:p>
        </w:tc>
        <w:tc>
          <w:tcPr>
            <w:tcW w:type="dxa" w:w="2160"/>
          </w:tcPr>
          <w:p>
            <w:pPr>
              <w:widowControl/>
            </w:pPr>
            <w:r>
              <w:rPr>
                <w:rFonts w:ascii="Mendl Sans Dusk Regular" w:hAnsi="Mendl Sans Dusk Regular" w:cs="Mendl Sans Dusk Regular" w:eastAsia="Mendl Sans Dusk Regular"/>
                <w:b w:val="0"/>
                <w:i w:val="0"/>
                <w:color w:val="000000"/>
                <w:sz w:val="20"/>
              </w:rPr>
              <w:t>Workforce Development Matrix</w:t>
            </w:r>
          </w:p>
        </w:tc>
        <w:tc>
          <w:tcPr>
            <w:tcW w:type="dxa" w:w="2160"/>
          </w:tcPr>
          <w:p>
            <w:pPr>
              <w:widowControl/>
            </w:pPr>
            <w:r>
              <w:rPr>
                <w:rFonts w:ascii="Mendl Sans Dusk Regular" w:hAnsi="Mendl Sans Dusk Regular" w:cs="Mendl Sans Dusk Regular" w:eastAsia="Mendl Sans Dusk Regular"/>
                <w:b w:val="0"/>
                <w:i w:val="0"/>
                <w:color w:val="000000"/>
                <w:sz w:val="20"/>
              </w:rPr>
              <w:t>HR Director</w:t>
            </w:r>
          </w:p>
        </w:tc>
        <w:tc>
          <w:tcPr>
            <w:tcW w:type="dxa" w:w="2160"/>
          </w:tcPr>
          <w:p>
            <w:pPr>
              <w:widowControl/>
            </w:pPr>
            <w:r>
              <w:rPr>
                <w:rFonts w:ascii="Mendl Sans Dusk Regular" w:hAnsi="Mendl Sans Dusk Regular" w:cs="Mendl Sans Dusk Regular" w:eastAsia="Mendl Sans Dusk Regular"/>
                <w:b w:val="0"/>
                <w:i w:val="0"/>
                <w:color w:val="000000"/>
                <w:sz w:val="20"/>
              </w:rPr>
              <w:t>Defines mandatory certifications, pay bands, and career progression paths.</w:t>
            </w:r>
          </w:p>
        </w:tc>
      </w:tr>
    </w:tbl>
    <w:p>
      <w:pPr>
        <w:widowControl/>
      </w:pPr>
    </w:p>
    <w:p>
      <w:pPr>
        <w:widowControl/>
      </w:pPr>
      <w:r>
        <w:rPr>
          <w:rFonts w:ascii="Mendl Sans Dusk Regular" w:hAnsi="Mendl Sans Dusk Regular" w:cs="Mendl Sans Dusk Regular" w:eastAsia="Mendl Sans Dusk Regular"/>
          <w:b/>
          <w:i w:val="0"/>
          <w:color w:val="000000"/>
          <w:sz w:val="22"/>
        </w:rPr>
        <w:t>TIER 2: STRATEGY &amp; BUSINESS DEVELOPMENT</w:t>
      </w:r>
    </w:p>
    <w:p>
      <w:pPr>
        <w:widowControl/>
      </w:pPr>
      <w:r>
        <w:rPr>
          <w:rFonts w:ascii="Mendl Sans Dusk Regular" w:hAnsi="Mendl Sans Dusk Regular" w:cs="Mendl Sans Dusk Regular" w:eastAsia="Mendl Sans Dusk Regular"/>
          <w:b w:val="0"/>
          <w:i/>
          <w:color w:val="000000"/>
          <w:sz w:val="22"/>
        </w:rPr>
        <w:t>Documents that govern how MH Construction acquires work and presents itself to the market.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Prefix</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Document Title</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Primary Owner</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Enterprise Role</w:t>
            </w:r>
          </w:p>
        </w:tc>
      </w:tr>
      <w:tr>
        <w:tc>
          <w:tcPr>
            <w:tcW w:type="dxa" w:w="2160"/>
          </w:tcPr>
          <w:p>
            <w:pPr>
              <w:widowControl/>
            </w:pPr>
            <w:r>
              <w:rPr>
                <w:rFonts w:ascii="Mendl Sans Dusk Regular" w:hAnsi="Mendl Sans Dusk Regular" w:cs="Mendl Sans Dusk Regular" w:eastAsia="Mendl Sans Dusk Regular"/>
                <w:b w:val="0"/>
                <w:i w:val="0"/>
                <w:color w:val="000000"/>
                <w:sz w:val="20"/>
              </w:rPr>
              <w:t>SE</w:t>
            </w:r>
          </w:p>
        </w:tc>
        <w:tc>
          <w:tcPr>
            <w:tcW w:type="dxa" w:w="2160"/>
          </w:tcPr>
          <w:p>
            <w:pPr>
              <w:widowControl/>
            </w:pPr>
            <w:r>
              <w:rPr>
                <w:rFonts w:ascii="Mendl Sans Dusk Regular" w:hAnsi="Mendl Sans Dusk Regular" w:cs="Mendl Sans Dusk Regular" w:eastAsia="Mendl Sans Dusk Regular"/>
                <w:b w:val="0"/>
                <w:i w:val="0"/>
                <w:color w:val="000000"/>
                <w:sz w:val="20"/>
              </w:rPr>
              <w:t>Sales &amp; Estimating Guide</w:t>
            </w:r>
          </w:p>
        </w:tc>
        <w:tc>
          <w:tcPr>
            <w:tcW w:type="dxa" w:w="2160"/>
          </w:tcPr>
          <w:p>
            <w:pPr>
              <w:widowControl/>
            </w:pPr>
            <w:r>
              <w:rPr>
                <w:rFonts w:ascii="Mendl Sans Dusk Regular" w:hAnsi="Mendl Sans Dusk Regular" w:cs="Mendl Sans Dusk Regular" w:eastAsia="Mendl Sans Dusk Regular"/>
                <w:b w:val="0"/>
                <w:i w:val="0"/>
                <w:color w:val="000000"/>
                <w:sz w:val="20"/>
              </w:rPr>
              <w:t>CHNAV</w:t>
            </w:r>
          </w:p>
        </w:tc>
        <w:tc>
          <w:tcPr>
            <w:tcW w:type="dxa" w:w="2160"/>
          </w:tcPr>
          <w:p>
            <w:pPr>
              <w:widowControl/>
            </w:pPr>
            <w:r>
              <w:rPr>
                <w:rFonts w:ascii="Mendl Sans Dusk Regular" w:hAnsi="Mendl Sans Dusk Regular" w:cs="Mendl Sans Dusk Regular" w:eastAsia="Mendl Sans Dusk Regular"/>
                <w:b w:val="0"/>
                <w:i w:val="0"/>
                <w:color w:val="000000"/>
                <w:sz w:val="20"/>
              </w:rPr>
              <w:t>Governs the pursuit of work, bid strategy, and client communication standards.</w:t>
            </w:r>
          </w:p>
        </w:tc>
      </w:tr>
      <w:tr>
        <w:tc>
          <w:tcPr>
            <w:tcW w:type="dxa" w:w="2160"/>
          </w:tcPr>
          <w:p>
            <w:pPr>
              <w:widowControl/>
            </w:pPr>
            <w:r>
              <w:rPr>
                <w:rFonts w:ascii="Mendl Sans Dusk Regular" w:hAnsi="Mendl Sans Dusk Regular" w:cs="Mendl Sans Dusk Regular" w:eastAsia="Mendl Sans Dusk Regular"/>
                <w:b w:val="0"/>
                <w:i w:val="0"/>
                <w:color w:val="000000"/>
                <w:sz w:val="20"/>
              </w:rPr>
              <w:t>MG</w:t>
            </w:r>
          </w:p>
        </w:tc>
        <w:tc>
          <w:tcPr>
            <w:tcW w:type="dxa" w:w="2160"/>
          </w:tcPr>
          <w:p>
            <w:pPr>
              <w:widowControl/>
            </w:pPr>
            <w:r>
              <w:rPr>
                <w:rFonts w:ascii="Mendl Sans Dusk Regular" w:hAnsi="Mendl Sans Dusk Regular" w:cs="Mendl Sans Dusk Regular" w:eastAsia="Mendl Sans Dusk Regular"/>
                <w:b w:val="0"/>
                <w:i w:val="0"/>
                <w:color w:val="000000"/>
                <w:sz w:val="20"/>
              </w:rPr>
              <w:t>Marketing Strategy Guide</w:t>
            </w:r>
          </w:p>
        </w:tc>
        <w:tc>
          <w:tcPr>
            <w:tcW w:type="dxa" w:w="2160"/>
          </w:tcPr>
          <w:p>
            <w:pPr>
              <w:widowControl/>
            </w:pPr>
            <w:r>
              <w:rPr>
                <w:rFonts w:ascii="Mendl Sans Dusk Regular" w:hAnsi="Mendl Sans Dusk Regular" w:cs="Mendl Sans Dusk Regular" w:eastAsia="Mendl Sans Dusk Regular"/>
                <w:b w:val="0"/>
                <w:i w:val="0"/>
                <w:color w:val="000000"/>
                <w:sz w:val="20"/>
              </w:rPr>
              <w:t>CHENG / CMO</w:t>
            </w:r>
          </w:p>
        </w:tc>
        <w:tc>
          <w:tcPr>
            <w:tcW w:type="dxa" w:w="2160"/>
          </w:tcPr>
          <w:p>
            <w:pPr>
              <w:widowControl/>
            </w:pPr>
            <w:r>
              <w:rPr>
                <w:rFonts w:ascii="Mendl Sans Dusk Regular" w:hAnsi="Mendl Sans Dusk Regular" w:cs="Mendl Sans Dusk Regular" w:eastAsia="Mendl Sans Dusk Regular"/>
                <w:b w:val="0"/>
                <w:i w:val="0"/>
                <w:color w:val="000000"/>
                <w:sz w:val="20"/>
              </w:rPr>
              <w:t>Governs channel operations, brand deployment, and marketing KPI targets.</w:t>
            </w:r>
          </w:p>
        </w:tc>
      </w:tr>
      <w:tr>
        <w:tc>
          <w:tcPr>
            <w:tcW w:type="dxa" w:w="2160"/>
          </w:tcPr>
          <w:p>
            <w:pPr>
              <w:widowControl/>
            </w:pPr>
            <w:r>
              <w:rPr>
                <w:rFonts w:ascii="Mendl Sans Dusk Regular" w:hAnsi="Mendl Sans Dusk Regular" w:cs="Mendl Sans Dusk Regular" w:eastAsia="Mendl Sans Dusk Regular"/>
                <w:b w:val="0"/>
                <w:i w:val="0"/>
                <w:color w:val="000000"/>
                <w:sz w:val="20"/>
              </w:rPr>
              <w:t>BSG</w:t>
            </w:r>
          </w:p>
        </w:tc>
        <w:tc>
          <w:tcPr>
            <w:tcW w:type="dxa" w:w="2160"/>
          </w:tcPr>
          <w:p>
            <w:pPr>
              <w:widowControl/>
            </w:pPr>
            <w:r>
              <w:rPr>
                <w:rFonts w:ascii="Mendl Sans Dusk Regular" w:hAnsi="Mendl Sans Dusk Regular" w:cs="Mendl Sans Dusk Regular" w:eastAsia="Mendl Sans Dusk Regular"/>
                <w:b w:val="0"/>
                <w:i w:val="0"/>
                <w:color w:val="000000"/>
                <w:sz w:val="20"/>
              </w:rPr>
              <w:t>Brand Standards Guide</w:t>
            </w:r>
          </w:p>
        </w:tc>
        <w:tc>
          <w:tcPr>
            <w:tcW w:type="dxa" w:w="2160"/>
          </w:tcPr>
          <w:p>
            <w:pPr>
              <w:widowControl/>
            </w:pPr>
            <w:r>
              <w:rPr>
                <w:rFonts w:ascii="Mendl Sans Dusk Regular" w:hAnsi="Mendl Sans Dusk Regular" w:cs="Mendl Sans Dusk Regular" w:eastAsia="Mendl Sans Dusk Regular"/>
                <w:b w:val="0"/>
                <w:i w:val="0"/>
                <w:color w:val="000000"/>
                <w:sz w:val="20"/>
              </w:rPr>
              <w:t>CHENG</w:t>
            </w:r>
          </w:p>
        </w:tc>
        <w:tc>
          <w:tcPr>
            <w:tcW w:type="dxa" w:w="2160"/>
          </w:tcPr>
          <w:p>
            <w:pPr>
              <w:widowControl/>
            </w:pPr>
            <w:r>
              <w:rPr>
                <w:rFonts w:ascii="Mendl Sans Dusk Regular" w:hAnsi="Mendl Sans Dusk Regular" w:cs="Mendl Sans Dusk Regular" w:eastAsia="Mendl Sans Dusk Regular"/>
                <w:b w:val="0"/>
                <w:i w:val="0"/>
                <w:color w:val="000000"/>
                <w:sz w:val="20"/>
              </w:rPr>
              <w:t>Establishes visual identity, typography, and logo usage (Maintained in GitHub).</w:t>
            </w:r>
          </w:p>
        </w:tc>
      </w:tr>
      <w:tr>
        <w:tc>
          <w:tcPr>
            <w:tcW w:type="dxa" w:w="2160"/>
          </w:tcPr>
          <w:p>
            <w:r>
              <w:t>MKT-002</w:t>
            </w:r>
          </w:p>
        </w:tc>
        <w:tc>
          <w:tcPr>
            <w:tcW w:type="dxa" w:w="2160"/>
          </w:tcPr>
          <w:p>
            <w:r>
              <w:t>Event &amp; Community Outreach Program</w:t>
            </w:r>
          </w:p>
        </w:tc>
        <w:tc>
          <w:tcPr>
            <w:tcW w:type="dxa" w:w="2160"/>
          </w:tcPr>
          <w:p>
            <w:r>
              <w:t>CHNAV / Marketing Lead</w:t>
            </w:r>
          </w:p>
        </w:tc>
        <w:tc>
          <w:tcPr>
            <w:tcW w:type="dxa" w:w="2160"/>
          </w:tcPr>
          <w:p>
            <w:r>
              <w:t>Controls chamber engagement, the condensed annual event calendar, sponsorships, volunteering, hosted events, Marketing Flight follow-through, and program AARs.</w:t>
            </w:r>
          </w:p>
        </w:tc>
      </w:tr>
    </w:tbl>
    <w:p>
      <w:pPr>
        <w:widowControl/>
      </w:pPr>
    </w:p>
    <w:p>
      <w:pPr>
        <w:widowControl/>
      </w:pPr>
      <w:r>
        <w:rPr>
          <w:rFonts w:ascii="Mendl Sans Dusk Regular" w:hAnsi="Mendl Sans Dusk Regular" w:cs="Mendl Sans Dusk Regular" w:eastAsia="Mendl Sans Dusk Regular"/>
          <w:b/>
          <w:i w:val="0"/>
          <w:color w:val="000000"/>
          <w:sz w:val="22"/>
        </w:rPr>
        <w:t>TIER 3: PROJECT DELIVERY &amp; FINANCIAL CONTROLS</w:t>
      </w:r>
    </w:p>
    <w:p>
      <w:pPr>
        <w:widowControl/>
      </w:pPr>
      <w:r>
        <w:rPr>
          <w:rFonts w:ascii="Mendl Sans Dusk Regular" w:hAnsi="Mendl Sans Dusk Regular" w:cs="Mendl Sans Dusk Regular" w:eastAsia="Mendl Sans Dusk Regular"/>
          <w:b w:val="0"/>
          <w:i/>
          <w:color w:val="000000"/>
          <w:sz w:val="22"/>
        </w:rPr>
        <w:t>Documents that govern how projects are executed, managed, and financially controlled.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Prefix</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Document Title</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Primary Owner</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Enterprise Role</w:t>
            </w:r>
          </w:p>
        </w:tc>
      </w:tr>
      <w:tr>
        <w:tc>
          <w:tcPr>
            <w:tcW w:type="dxa" w:w="2160"/>
          </w:tcPr>
          <w:p>
            <w:pPr>
              <w:widowControl/>
            </w:pPr>
            <w:r>
              <w:rPr>
                <w:rFonts w:ascii="Mendl Sans Dusk Regular" w:hAnsi="Mendl Sans Dusk Regular" w:cs="Mendl Sans Dusk Regular" w:eastAsia="Mendl Sans Dusk Regular"/>
                <w:b w:val="0"/>
                <w:i w:val="0"/>
                <w:color w:val="000000"/>
                <w:sz w:val="20"/>
              </w:rPr>
              <w:t>PEP</w:t>
            </w:r>
          </w:p>
        </w:tc>
        <w:tc>
          <w:tcPr>
            <w:tcW w:type="dxa" w:w="2160"/>
          </w:tcPr>
          <w:p>
            <w:pPr>
              <w:widowControl/>
            </w:pPr>
            <w:r>
              <w:rPr>
                <w:rFonts w:ascii="Mendl Sans Dusk Regular" w:hAnsi="Mendl Sans Dusk Regular" w:cs="Mendl Sans Dusk Regular" w:eastAsia="Mendl Sans Dusk Regular"/>
                <w:b w:val="0"/>
                <w:i w:val="0"/>
                <w:color w:val="000000"/>
                <w:sz w:val="20"/>
              </w:rPr>
              <w:t>Project Execution Playbook</w:t>
            </w:r>
          </w:p>
        </w:tc>
        <w:tc>
          <w:tcPr>
            <w:tcW w:type="dxa" w:w="2160"/>
          </w:tcPr>
          <w:p>
            <w:pPr>
              <w:widowControl/>
            </w:pPr>
            <w:r>
              <w:rPr>
                <w:rFonts w:ascii="Mendl Sans Dusk Regular" w:hAnsi="Mendl Sans Dusk Regular" w:cs="Mendl Sans Dusk Regular" w:eastAsia="Mendl Sans Dusk Regular"/>
                <w:b w:val="0"/>
                <w:i w:val="0"/>
                <w:color w:val="000000"/>
                <w:sz w:val="20"/>
              </w:rPr>
              <w:t>COO / PM Wing Lead</w:t>
            </w:r>
          </w:p>
        </w:tc>
        <w:tc>
          <w:tcPr>
            <w:tcW w:type="dxa" w:w="2160"/>
          </w:tcPr>
          <w:p>
            <w:pPr>
              <w:widowControl/>
            </w:pPr>
            <w:r>
              <w:rPr>
                <w:rFonts w:ascii="Mendl Sans Dusk Regular" w:hAnsi="Mendl Sans Dusk Regular" w:cs="Mendl Sans Dusk Regular" w:eastAsia="Mendl Sans Dusk Regular"/>
                <w:b w:val="0"/>
                <w:i w:val="0"/>
                <w:color w:val="000000"/>
                <w:sz w:val="20"/>
              </w:rPr>
              <w:t>Governs project delivery from Sales handoff through closeout and punch list.</w:t>
            </w:r>
          </w:p>
        </w:tc>
      </w:tr>
      <w:tr>
        <w:tc>
          <w:tcPr>
            <w:tcW w:type="dxa" w:w="2160"/>
          </w:tcPr>
          <w:p>
            <w:pPr>
              <w:widowControl/>
            </w:pPr>
            <w:r>
              <w:rPr>
                <w:rFonts w:ascii="Mendl Sans Dusk Regular" w:hAnsi="Mendl Sans Dusk Regular" w:cs="Mendl Sans Dusk Regular" w:eastAsia="Mendl Sans Dusk Regular"/>
                <w:b w:val="0"/>
                <w:i w:val="0"/>
                <w:color w:val="000000"/>
                <w:sz w:val="20"/>
              </w:rPr>
              <w:t>BID</w:t>
            </w:r>
          </w:p>
        </w:tc>
        <w:tc>
          <w:tcPr>
            <w:tcW w:type="dxa" w:w="2160"/>
          </w:tcPr>
          <w:p>
            <w:pPr>
              <w:widowControl/>
            </w:pPr>
            <w:r>
              <w:rPr>
                <w:rFonts w:ascii="Mendl Sans Dusk Regular" w:hAnsi="Mendl Sans Dusk Regular" w:cs="Mendl Sans Dusk Regular" w:eastAsia="Mendl Sans Dusk Regular"/>
                <w:b w:val="0"/>
                <w:i w:val="0"/>
                <w:color w:val="000000"/>
                <w:sz w:val="20"/>
              </w:rPr>
              <w:t>Estimating &amp; Bid Package Guide</w:t>
            </w:r>
          </w:p>
        </w:tc>
        <w:tc>
          <w:tcPr>
            <w:tcW w:type="dxa" w:w="2160"/>
          </w:tcPr>
          <w:p>
            <w:pPr>
              <w:widowControl/>
            </w:pPr>
            <w:r>
              <w:rPr>
                <w:rFonts w:ascii="Mendl Sans Dusk Regular" w:hAnsi="Mendl Sans Dusk Regular" w:cs="Mendl Sans Dusk Regular" w:eastAsia="Mendl Sans Dusk Regular"/>
                <w:b w:val="0"/>
                <w:i w:val="0"/>
                <w:color w:val="000000"/>
                <w:sz w:val="20"/>
              </w:rPr>
              <w:t>Senior Estimator</w:t>
            </w:r>
          </w:p>
        </w:tc>
        <w:tc>
          <w:tcPr>
            <w:tcW w:type="dxa" w:w="2160"/>
          </w:tcPr>
          <w:p>
            <w:pPr>
              <w:widowControl/>
            </w:pPr>
            <w:r>
              <w:rPr>
                <w:rFonts w:ascii="Mendl Sans Dusk Regular" w:hAnsi="Mendl Sans Dusk Regular" w:cs="Mendl Sans Dusk Regular" w:eastAsia="Mendl Sans Dusk Regular"/>
                <w:b w:val="0"/>
                <w:i w:val="0"/>
                <w:color w:val="000000"/>
                <w:sz w:val="20"/>
              </w:rPr>
              <w:t>Governs takeoff procedures, Go/No-Go decisions, and bid assembly.</w:t>
            </w:r>
          </w:p>
        </w:tc>
      </w:tr>
      <w:tr>
        <w:tc>
          <w:tcPr>
            <w:tcW w:type="dxa" w:w="2160"/>
          </w:tcPr>
          <w:p>
            <w:pPr>
              <w:widowControl/>
            </w:pPr>
            <w:r>
              <w:rPr>
                <w:rFonts w:ascii="Mendl Sans Dusk Regular" w:hAnsi="Mendl Sans Dusk Regular" w:cs="Mendl Sans Dusk Regular" w:eastAsia="Mendl Sans Dusk Regular"/>
                <w:b w:val="0"/>
                <w:i w:val="0"/>
                <w:color w:val="000000"/>
                <w:sz w:val="20"/>
              </w:rPr>
              <w:t>SUB</w:t>
            </w:r>
          </w:p>
        </w:tc>
        <w:tc>
          <w:tcPr>
            <w:tcW w:type="dxa" w:w="2160"/>
          </w:tcPr>
          <w:p>
            <w:pPr>
              <w:widowControl/>
            </w:pPr>
            <w:r>
              <w:rPr>
                <w:rFonts w:ascii="Mendl Sans Dusk Regular" w:hAnsi="Mendl Sans Dusk Regular" w:cs="Mendl Sans Dusk Regular" w:eastAsia="Mendl Sans Dusk Regular"/>
                <w:b w:val="0"/>
                <w:i w:val="0"/>
                <w:color w:val="000000"/>
                <w:sz w:val="20"/>
              </w:rPr>
              <w:t>Subcontractor Management Manual</w:t>
            </w:r>
          </w:p>
        </w:tc>
        <w:tc>
          <w:tcPr>
            <w:tcW w:type="dxa" w:w="2160"/>
          </w:tcPr>
          <w:p>
            <w:pPr>
              <w:widowControl/>
            </w:pPr>
            <w:r>
              <w:rPr>
                <w:rFonts w:ascii="Mendl Sans Dusk Regular" w:hAnsi="Mendl Sans Dusk Regular" w:cs="Mendl Sans Dusk Regular" w:eastAsia="Mendl Sans Dusk Regular"/>
                <w:b w:val="0"/>
                <w:i w:val="0"/>
                <w:color w:val="000000"/>
                <w:sz w:val="20"/>
              </w:rPr>
              <w:t>Admin Dept / PM</w:t>
            </w:r>
          </w:p>
        </w:tc>
        <w:tc>
          <w:tcPr>
            <w:tcW w:type="dxa" w:w="2160"/>
          </w:tcPr>
          <w:p>
            <w:pPr>
              <w:widowControl/>
            </w:pPr>
            <w:r>
              <w:rPr>
                <w:rFonts w:ascii="Mendl Sans Dusk Regular" w:hAnsi="Mendl Sans Dusk Regular" w:cs="Mendl Sans Dusk Regular" w:eastAsia="Mendl Sans Dusk Regular"/>
                <w:b w:val="0"/>
                <w:i w:val="0"/>
                <w:color w:val="000000"/>
                <w:sz w:val="20"/>
              </w:rPr>
              <w:t>Governs subcontractor prequalification, contracts, and performance evaluation.</w:t>
            </w:r>
          </w:p>
        </w:tc>
      </w:tr>
      <w:tr>
        <w:tc>
          <w:tcPr>
            <w:tcW w:type="dxa" w:w="2160"/>
          </w:tcPr>
          <w:p>
            <w:pPr>
              <w:widowControl/>
            </w:pPr>
            <w:r>
              <w:rPr>
                <w:rFonts w:ascii="Mendl Sans Dusk Regular" w:hAnsi="Mendl Sans Dusk Regular" w:cs="Mendl Sans Dusk Regular" w:eastAsia="Mendl Sans Dusk Regular"/>
                <w:b w:val="0"/>
                <w:i w:val="0"/>
                <w:color w:val="000000"/>
                <w:sz w:val="20"/>
              </w:rPr>
              <w:t>FIN</w:t>
            </w:r>
          </w:p>
        </w:tc>
        <w:tc>
          <w:tcPr>
            <w:tcW w:type="dxa" w:w="2160"/>
          </w:tcPr>
          <w:p>
            <w:pPr>
              <w:widowControl/>
            </w:pPr>
            <w:r>
              <w:rPr>
                <w:rFonts w:ascii="Mendl Sans Dusk Regular" w:hAnsi="Mendl Sans Dusk Regular" w:cs="Mendl Sans Dusk Regular" w:eastAsia="Mendl Sans Dusk Regular"/>
                <w:b w:val="0"/>
                <w:i w:val="0"/>
                <w:color w:val="000000"/>
                <w:sz w:val="20"/>
              </w:rPr>
              <w:t>Financial Controls Guide</w:t>
            </w:r>
          </w:p>
        </w:tc>
        <w:tc>
          <w:tcPr>
            <w:tcW w:type="dxa" w:w="2160"/>
          </w:tcPr>
          <w:p>
            <w:pPr>
              <w:widowControl/>
            </w:pPr>
            <w:r>
              <w:rPr>
                <w:rFonts w:ascii="Mendl Sans Dusk Regular" w:hAnsi="Mendl Sans Dusk Regular" w:cs="Mendl Sans Dusk Regular" w:eastAsia="Mendl Sans Dusk Regular"/>
                <w:b w:val="0"/>
                <w:i w:val="0"/>
                <w:color w:val="000000"/>
                <w:sz w:val="20"/>
              </w:rPr>
              <w:t>CFO</w:t>
            </w:r>
          </w:p>
        </w:tc>
        <w:tc>
          <w:tcPr>
            <w:tcW w:type="dxa" w:w="2160"/>
          </w:tcPr>
          <w:p>
            <w:pPr>
              <w:widowControl/>
            </w:pPr>
            <w:r>
              <w:rPr>
                <w:rFonts w:ascii="Mendl Sans Dusk Regular" w:hAnsi="Mendl Sans Dusk Regular" w:cs="Mendl Sans Dusk Regular" w:eastAsia="Mendl Sans Dusk Regular"/>
                <w:b w:val="0"/>
                <w:i w:val="0"/>
                <w:color w:val="000000"/>
                <w:sz w:val="20"/>
              </w:rPr>
              <w:t>Governs job cost tracking, change orders, AP/AR, and month-end reconciliation.</w:t>
            </w:r>
          </w:p>
        </w:tc>
      </w:tr>
    </w:tbl>
    <w:p>
      <w:pPr>
        <w:widowControl/>
      </w:pPr>
    </w:p>
    <w:p>
      <w:pPr>
        <w:widowControl/>
      </w:pPr>
      <w:r>
        <w:rPr>
          <w:rFonts w:ascii="Mendl Sans Dusk Regular" w:hAnsi="Mendl Sans Dusk Regular" w:cs="Mendl Sans Dusk Regular" w:eastAsia="Mendl Sans Dusk Regular"/>
          <w:b/>
          <w:i w:val="0"/>
          <w:color w:val="000000"/>
          <w:sz w:val="22"/>
        </w:rPr>
        <w:t>TIER 4: SAFETY, EQUIPMENT &amp; FIELD OPERATIONS</w:t>
      </w:r>
    </w:p>
    <w:p>
      <w:pPr>
        <w:widowControl/>
      </w:pPr>
      <w:r>
        <w:rPr>
          <w:rFonts w:ascii="Mendl Sans Dusk Regular" w:hAnsi="Mendl Sans Dusk Regular" w:cs="Mendl Sans Dusk Regular" w:eastAsia="Mendl Sans Dusk Regular"/>
          <w:b w:val="0"/>
          <w:i/>
          <w:color w:val="000000"/>
          <w:sz w:val="22"/>
        </w:rPr>
        <w:t>Documents that govern jobsite safety, heavy equipment, and logistics.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Prefix</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Document Title</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Primary Owner</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Enterprise Role</w:t>
            </w:r>
          </w:p>
        </w:tc>
      </w:tr>
      <w:tr>
        <w:tc>
          <w:tcPr>
            <w:tcW w:type="dxa" w:w="2160"/>
          </w:tcPr>
          <w:p>
            <w:pPr>
              <w:widowControl/>
            </w:pPr>
            <w:r>
              <w:rPr>
                <w:rFonts w:ascii="Mendl Sans Dusk Regular" w:hAnsi="Mendl Sans Dusk Regular" w:cs="Mendl Sans Dusk Regular" w:eastAsia="Mendl Sans Dusk Regular"/>
                <w:b w:val="0"/>
                <w:i w:val="0"/>
                <w:color w:val="000000"/>
                <w:sz w:val="20"/>
              </w:rPr>
              <w:t>MISH</w:t>
            </w:r>
          </w:p>
        </w:tc>
        <w:tc>
          <w:tcPr>
            <w:tcW w:type="dxa" w:w="2160"/>
          </w:tcPr>
          <w:p>
            <w:pPr>
              <w:widowControl/>
            </w:pPr>
            <w:r>
              <w:rPr>
                <w:rFonts w:ascii="Mendl Sans Dusk Regular" w:hAnsi="Mendl Sans Dusk Regular" w:cs="Mendl Sans Dusk Regular" w:eastAsia="Mendl Sans Dusk Regular"/>
                <w:b w:val="0"/>
                <w:i w:val="0"/>
                <w:color w:val="000000"/>
                <w:sz w:val="20"/>
              </w:rPr>
              <w:t>MISH Safety Manual</w:t>
            </w:r>
          </w:p>
        </w:tc>
        <w:tc>
          <w:tcPr>
            <w:tcW w:type="dxa" w:w="2160"/>
          </w:tcPr>
          <w:p>
            <w:pPr>
              <w:widowControl/>
            </w:pPr>
            <w:r>
              <w:rPr>
                <w:rFonts w:ascii="Mendl Sans Dusk Regular" w:hAnsi="Mendl Sans Dusk Regular" w:cs="Mendl Sans Dusk Regular" w:eastAsia="Mendl Sans Dusk Regular"/>
                <w:b w:val="0"/>
                <w:i w:val="0"/>
                <w:color w:val="000000"/>
                <w:sz w:val="20"/>
              </w:rPr>
              <w:t>Safety Officer</w:t>
            </w:r>
          </w:p>
        </w:tc>
        <w:tc>
          <w:tcPr>
            <w:tcW w:type="dxa" w:w="2160"/>
          </w:tcPr>
          <w:p>
            <w:pPr>
              <w:widowControl/>
            </w:pPr>
            <w:r>
              <w:rPr>
                <w:rFonts w:ascii="Mendl Sans Dusk Regular" w:hAnsi="Mendl Sans Dusk Regular" w:cs="Mendl Sans Dusk Regular" w:eastAsia="Mendl Sans Dusk Regular"/>
                <w:b w:val="0"/>
                <w:i w:val="0"/>
                <w:color w:val="000000"/>
                <w:sz w:val="20"/>
              </w:rPr>
              <w:t>The master safety doctrine governing all field operations and hazard mitigation.</w:t>
            </w:r>
          </w:p>
        </w:tc>
      </w:tr>
      <w:tr>
        <w:tc>
          <w:tcPr>
            <w:tcW w:type="dxa" w:w="2160"/>
          </w:tcPr>
          <w:p>
            <w:pPr>
              <w:widowControl/>
            </w:pPr>
            <w:r>
              <w:rPr>
                <w:rFonts w:ascii="Mendl Sans Dusk Regular" w:hAnsi="Mendl Sans Dusk Regular" w:cs="Mendl Sans Dusk Regular" w:eastAsia="Mendl Sans Dusk Regular"/>
                <w:b w:val="0"/>
                <w:i w:val="0"/>
                <w:color w:val="000000"/>
                <w:sz w:val="20"/>
              </w:rPr>
              <w:t>ER</w:t>
            </w:r>
          </w:p>
        </w:tc>
        <w:tc>
          <w:tcPr>
            <w:tcW w:type="dxa" w:w="2160"/>
          </w:tcPr>
          <w:p>
            <w:pPr>
              <w:widowControl/>
            </w:pPr>
            <w:r>
              <w:rPr>
                <w:rFonts w:ascii="Mendl Sans Dusk Regular" w:hAnsi="Mendl Sans Dusk Regular" w:cs="Mendl Sans Dusk Regular" w:eastAsia="Mendl Sans Dusk Regular"/>
                <w:b w:val="0"/>
                <w:i w:val="0"/>
                <w:color w:val="000000"/>
                <w:sz w:val="20"/>
              </w:rPr>
              <w:t>Emergency Response Plan</w:t>
            </w:r>
          </w:p>
        </w:tc>
        <w:tc>
          <w:tcPr>
            <w:tcW w:type="dxa" w:w="2160"/>
          </w:tcPr>
          <w:p>
            <w:pPr>
              <w:widowControl/>
            </w:pPr>
            <w:r>
              <w:rPr>
                <w:rFonts w:ascii="Mendl Sans Dusk Regular" w:hAnsi="Mendl Sans Dusk Regular" w:cs="Mendl Sans Dusk Regular" w:eastAsia="Mendl Sans Dusk Regular"/>
                <w:b w:val="0"/>
                <w:i w:val="0"/>
                <w:color w:val="000000"/>
                <w:sz w:val="20"/>
              </w:rPr>
              <w:t>Chief Superintendent</w:t>
            </w:r>
          </w:p>
        </w:tc>
        <w:tc>
          <w:tcPr>
            <w:tcW w:type="dxa" w:w="2160"/>
          </w:tcPr>
          <w:p>
            <w:pPr>
              <w:widowControl/>
            </w:pPr>
            <w:r>
              <w:rPr>
                <w:rFonts w:ascii="Mendl Sans Dusk Regular" w:hAnsi="Mendl Sans Dusk Regular" w:cs="Mendl Sans Dusk Regular" w:eastAsia="Mendl Sans Dusk Regular"/>
                <w:b w:val="0"/>
                <w:i w:val="0"/>
                <w:color w:val="000000"/>
                <w:sz w:val="20"/>
              </w:rPr>
              <w:t>Governs jobsite emergencies, incident command, and L&amp;I/OSHA notification.</w:t>
            </w:r>
          </w:p>
        </w:tc>
      </w:tr>
      <w:tr>
        <w:tc>
          <w:tcPr>
            <w:tcW w:type="dxa" w:w="2160"/>
          </w:tcPr>
          <w:p>
            <w:pPr>
              <w:widowControl/>
            </w:pPr>
            <w:r>
              <w:rPr>
                <w:rFonts w:ascii="Mendl Sans Dusk Regular" w:hAnsi="Mendl Sans Dusk Regular" w:cs="Mendl Sans Dusk Regular" w:eastAsia="Mendl Sans Dusk Regular"/>
                <w:b w:val="0"/>
                <w:i w:val="0"/>
                <w:color w:val="000000"/>
                <w:sz w:val="20"/>
              </w:rPr>
              <w:t>EOM</w:t>
            </w:r>
          </w:p>
        </w:tc>
        <w:tc>
          <w:tcPr>
            <w:tcW w:type="dxa" w:w="2160"/>
          </w:tcPr>
          <w:p>
            <w:pPr>
              <w:widowControl/>
            </w:pPr>
            <w:r>
              <w:rPr>
                <w:rFonts w:ascii="Mendl Sans Dusk Regular" w:hAnsi="Mendl Sans Dusk Regular" w:cs="Mendl Sans Dusk Regular" w:eastAsia="Mendl Sans Dusk Regular"/>
                <w:b w:val="0"/>
                <w:i w:val="0"/>
                <w:color w:val="000000"/>
                <w:sz w:val="20"/>
              </w:rPr>
              <w:t>Equipment Operators Manual</w:t>
            </w:r>
          </w:p>
        </w:tc>
        <w:tc>
          <w:tcPr>
            <w:tcW w:type="dxa" w:w="2160"/>
          </w:tcPr>
          <w:p>
            <w:pPr>
              <w:widowControl/>
            </w:pPr>
            <w:r>
              <w:rPr>
                <w:rFonts w:ascii="Mendl Sans Dusk Regular" w:hAnsi="Mendl Sans Dusk Regular" w:cs="Mendl Sans Dusk Regular" w:eastAsia="Mendl Sans Dusk Regular"/>
                <w:b w:val="0"/>
                <w:i w:val="0"/>
                <w:color w:val="000000"/>
                <w:sz w:val="20"/>
              </w:rPr>
              <w:t>Chief Superintendent</w:t>
            </w:r>
          </w:p>
        </w:tc>
        <w:tc>
          <w:tcPr>
            <w:tcW w:type="dxa" w:w="2160"/>
          </w:tcPr>
          <w:p>
            <w:pPr>
              <w:widowControl/>
            </w:pPr>
            <w:r>
              <w:rPr>
                <w:rFonts w:ascii="Mendl Sans Dusk Regular" w:hAnsi="Mendl Sans Dusk Regular" w:cs="Mendl Sans Dusk Regular" w:eastAsia="Mendl Sans Dusk Regular"/>
                <w:b w:val="0"/>
                <w:i w:val="0"/>
                <w:color w:val="000000"/>
                <w:sz w:val="20"/>
              </w:rPr>
              <w:t>Governs heavy equipment certification, safe operation, and maintenance.</w:t>
            </w:r>
          </w:p>
        </w:tc>
      </w:tr>
      <w:tr>
        <w:tc>
          <w:tcPr>
            <w:tcW w:type="dxa" w:w="2160"/>
          </w:tcPr>
          <w:p>
            <w:pPr>
              <w:widowControl/>
            </w:pPr>
            <w:r>
              <w:rPr>
                <w:rFonts w:ascii="Mendl Sans Dusk Regular" w:hAnsi="Mendl Sans Dusk Regular" w:cs="Mendl Sans Dusk Regular" w:eastAsia="Mendl Sans Dusk Regular"/>
                <w:b w:val="0"/>
                <w:i w:val="0"/>
                <w:color w:val="000000"/>
                <w:sz w:val="20"/>
              </w:rPr>
              <w:t>WMG</w:t>
            </w:r>
          </w:p>
        </w:tc>
        <w:tc>
          <w:tcPr>
            <w:tcW w:type="dxa" w:w="2160"/>
          </w:tcPr>
          <w:p>
            <w:pPr>
              <w:widowControl/>
            </w:pPr>
            <w:r>
              <w:rPr>
                <w:rFonts w:ascii="Mendl Sans Dusk Regular" w:hAnsi="Mendl Sans Dusk Regular" w:cs="Mendl Sans Dusk Regular" w:eastAsia="Mendl Sans Dusk Regular"/>
                <w:b w:val="0"/>
                <w:i w:val="0"/>
                <w:color w:val="000000"/>
                <w:sz w:val="20"/>
              </w:rPr>
              <w:t>Warehouse Management Guide</w:t>
            </w:r>
          </w:p>
        </w:tc>
        <w:tc>
          <w:tcPr>
            <w:tcW w:type="dxa" w:w="2160"/>
          </w:tcPr>
          <w:p>
            <w:pPr>
              <w:widowControl/>
            </w:pPr>
            <w:r>
              <w:rPr>
                <w:rFonts w:ascii="Mendl Sans Dusk Regular" w:hAnsi="Mendl Sans Dusk Regular" w:cs="Mendl Sans Dusk Regular" w:eastAsia="Mendl Sans Dusk Regular"/>
                <w:b w:val="0"/>
                <w:i w:val="0"/>
                <w:color w:val="000000"/>
                <w:sz w:val="20"/>
              </w:rPr>
              <w:t>Warehouse Manager</w:t>
            </w:r>
          </w:p>
        </w:tc>
        <w:tc>
          <w:tcPr>
            <w:tcW w:type="dxa" w:w="2160"/>
          </w:tcPr>
          <w:p>
            <w:pPr>
              <w:widowControl/>
            </w:pPr>
            <w:r>
              <w:rPr>
                <w:rFonts w:ascii="Mendl Sans Dusk Regular" w:hAnsi="Mendl Sans Dusk Regular" w:cs="Mendl Sans Dusk Regular" w:eastAsia="Mendl Sans Dusk Regular"/>
                <w:b w:val="0"/>
                <w:i w:val="0"/>
                <w:color w:val="000000"/>
                <w:sz w:val="20"/>
              </w:rPr>
              <w:t>Governs tool tracking, material receiving, and hazmat storage.</w:t>
            </w:r>
          </w:p>
        </w:tc>
      </w:tr>
      <w:tr>
        <w:tc>
          <w:tcPr>
            <w:tcW w:type="dxa" w:w="2160"/>
          </w:tcPr>
          <w:p>
            <w:pPr>
              <w:widowControl/>
            </w:pPr>
            <w:r>
              <w:rPr>
                <w:rFonts w:ascii="Mendl Sans Dusk Regular" w:hAnsi="Mendl Sans Dusk Regular" w:cs="Mendl Sans Dusk Regular" w:eastAsia="Mendl Sans Dusk Regular"/>
                <w:b w:val="0"/>
                <w:i w:val="0"/>
                <w:color w:val="000000"/>
                <w:sz w:val="20"/>
              </w:rPr>
              <w:t>TBT</w:t>
            </w:r>
          </w:p>
        </w:tc>
        <w:tc>
          <w:tcPr>
            <w:tcW w:type="dxa" w:w="2160"/>
          </w:tcPr>
          <w:p>
            <w:pPr>
              <w:widowControl/>
            </w:pPr>
            <w:r>
              <w:rPr>
                <w:rFonts w:ascii="Mendl Sans Dusk Regular" w:hAnsi="Mendl Sans Dusk Regular" w:cs="Mendl Sans Dusk Regular" w:eastAsia="Mendl Sans Dusk Regular"/>
                <w:b w:val="0"/>
                <w:i w:val="0"/>
                <w:color w:val="000000"/>
                <w:sz w:val="20"/>
              </w:rPr>
              <w:t>Toolbox Talk Program (78 Modules)</w:t>
            </w:r>
          </w:p>
        </w:tc>
        <w:tc>
          <w:tcPr>
            <w:tcW w:type="dxa" w:w="2160"/>
          </w:tcPr>
          <w:p>
            <w:pPr>
              <w:widowControl/>
            </w:pPr>
            <w:r>
              <w:rPr>
                <w:rFonts w:ascii="Mendl Sans Dusk Regular" w:hAnsi="Mendl Sans Dusk Regular" w:cs="Mendl Sans Dusk Regular" w:eastAsia="Mendl Sans Dusk Regular"/>
                <w:b w:val="0"/>
                <w:i w:val="0"/>
                <w:color w:val="000000"/>
                <w:sz w:val="20"/>
              </w:rPr>
              <w:t>Safety Officer</w:t>
            </w:r>
          </w:p>
        </w:tc>
        <w:tc>
          <w:tcPr>
            <w:tcW w:type="dxa" w:w="2160"/>
          </w:tcPr>
          <w:p>
            <w:pPr>
              <w:widowControl/>
            </w:pPr>
            <w:r>
              <w:rPr>
                <w:rFonts w:ascii="Mendl Sans Dusk Regular" w:hAnsi="Mendl Sans Dusk Regular" w:cs="Mendl Sans Dusk Regular" w:eastAsia="Mendl Sans Dusk Regular"/>
                <w:b w:val="0"/>
                <w:i w:val="0"/>
                <w:color w:val="000000"/>
                <w:sz w:val="20"/>
              </w:rPr>
              <w:t>CSI MasterFormat-aligned weekly safety training curriculum.</w:t>
            </w:r>
          </w:p>
        </w:tc>
      </w:tr>
      <w:tr>
        <w:tc>
          <w:tcPr>
            <w:tcW w:type="dxa" w:w="2160"/>
          </w:tcPr>
          <w:p>
            <w:pPr>
              <w:widowControl/>
            </w:pPr>
            <w:r>
              <w:rPr>
                <w:rFonts w:ascii="Mendl Sans Dusk Regular" w:hAnsi="Mendl Sans Dusk Regular" w:cs="Mendl Sans Dusk Regular" w:eastAsia="Mendl Sans Dusk Regular"/>
                <w:b w:val="0"/>
                <w:i w:val="0"/>
                <w:color w:val="000000"/>
                <w:sz w:val="20"/>
              </w:rPr>
              <w:t>SDS</w:t>
            </w:r>
          </w:p>
        </w:tc>
        <w:tc>
          <w:tcPr>
            <w:tcW w:type="dxa" w:w="2160"/>
          </w:tcPr>
          <w:p>
            <w:pPr>
              <w:widowControl/>
            </w:pPr>
            <w:r>
              <w:rPr>
                <w:rFonts w:ascii="Mendl Sans Dusk Regular" w:hAnsi="Mendl Sans Dusk Regular" w:cs="Mendl Sans Dusk Regular" w:eastAsia="Mendl Sans Dusk Regular"/>
                <w:b w:val="0"/>
                <w:i w:val="0"/>
                <w:color w:val="000000"/>
                <w:sz w:val="20"/>
              </w:rPr>
              <w:t>SDS Quick Reference Library</w:t>
            </w:r>
          </w:p>
        </w:tc>
        <w:tc>
          <w:tcPr>
            <w:tcW w:type="dxa" w:w="2160"/>
          </w:tcPr>
          <w:p>
            <w:pPr>
              <w:widowControl/>
            </w:pPr>
            <w:r>
              <w:rPr>
                <w:rFonts w:ascii="Mendl Sans Dusk Regular" w:hAnsi="Mendl Sans Dusk Regular" w:cs="Mendl Sans Dusk Regular" w:eastAsia="Mendl Sans Dusk Regular"/>
                <w:b w:val="0"/>
                <w:i w:val="0"/>
                <w:color w:val="000000"/>
                <w:sz w:val="20"/>
              </w:rPr>
              <w:t>Safety Officer</w:t>
            </w:r>
          </w:p>
        </w:tc>
        <w:tc>
          <w:tcPr>
            <w:tcW w:type="dxa" w:w="2160"/>
          </w:tcPr>
          <w:p>
            <w:pPr>
              <w:widowControl/>
            </w:pPr>
            <w:r>
              <w:rPr>
                <w:rFonts w:ascii="Mendl Sans Dusk Regular" w:hAnsi="Mendl Sans Dusk Regular" w:cs="Mendl Sans Dusk Regular" w:eastAsia="Mendl Sans Dusk Regular"/>
                <w:b w:val="0"/>
                <w:i w:val="0"/>
                <w:color w:val="000000"/>
                <w:sz w:val="20"/>
              </w:rPr>
              <w:t>Chemical hazard communication and emergency first aid references.</w:t>
            </w:r>
          </w:p>
        </w:tc>
      </w:tr>
    </w:tbl>
    <w:p>
      <w:pPr>
        <w:widowControl/>
      </w:pPr>
    </w:p>
    <w:p>
      <w:pPr>
        <w:widowControl/>
      </w:pPr>
      <w:r>
        <w:rPr>
          <w:rFonts w:ascii="Mendl Sans Dusk Regular" w:hAnsi="Mendl Sans Dusk Regular" w:cs="Mendl Sans Dusk Regular" w:eastAsia="Mendl Sans Dusk Regular"/>
          <w:b/>
          <w:i w:val="0"/>
          <w:color w:val="000000"/>
          <w:sz w:val="22"/>
        </w:rPr>
        <w:t>TIER 5: INFRASTRUCTURE &amp; SUPPORT</w:t>
      </w:r>
    </w:p>
    <w:p>
      <w:pPr>
        <w:widowControl/>
      </w:pPr>
      <w:r>
        <w:rPr>
          <w:rFonts w:ascii="Mendl Sans Dusk Regular" w:hAnsi="Mendl Sans Dusk Regular" w:cs="Mendl Sans Dusk Regular" w:eastAsia="Mendl Sans Dusk Regular"/>
          <w:b w:val="0"/>
          <w:i/>
          <w:color w:val="000000"/>
          <w:sz w:val="22"/>
        </w:rPr>
        <w:t>Documents that govern digital systems and employee onboarding.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Prefix</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Document Title</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Primary Owner</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Enterprise Role</w:t>
            </w:r>
          </w:p>
        </w:tc>
      </w:tr>
      <w:tr>
        <w:tc>
          <w:tcPr>
            <w:tcW w:type="dxa" w:w="2160"/>
          </w:tcPr>
          <w:p>
            <w:pPr>
              <w:widowControl/>
            </w:pPr>
            <w:r>
              <w:rPr>
                <w:rFonts w:ascii="Mendl Sans Dusk Regular" w:hAnsi="Mendl Sans Dusk Regular" w:cs="Mendl Sans Dusk Regular" w:eastAsia="Mendl Sans Dusk Regular"/>
                <w:b w:val="0"/>
                <w:i w:val="0"/>
                <w:color w:val="000000"/>
                <w:sz w:val="20"/>
              </w:rPr>
              <w:t>IT</w:t>
            </w:r>
          </w:p>
        </w:tc>
        <w:tc>
          <w:tcPr>
            <w:tcW w:type="dxa" w:w="2160"/>
          </w:tcPr>
          <w:p>
            <w:pPr>
              <w:widowControl/>
            </w:pPr>
            <w:r>
              <w:rPr>
                <w:rFonts w:ascii="Mendl Sans Dusk Regular" w:hAnsi="Mendl Sans Dusk Regular" w:cs="Mendl Sans Dusk Regular" w:eastAsia="Mendl Sans Dusk Regular"/>
                <w:b w:val="0"/>
                <w:i w:val="0"/>
                <w:color w:val="000000"/>
                <w:sz w:val="20"/>
              </w:rPr>
              <w:t>IT &amp; Digital Infrastructure Guide</w:t>
            </w:r>
          </w:p>
        </w:tc>
        <w:tc>
          <w:tcPr>
            <w:tcW w:type="dxa" w:w="2160"/>
          </w:tcPr>
          <w:p>
            <w:pPr>
              <w:widowControl/>
            </w:pPr>
            <w:r>
              <w:rPr>
                <w:rFonts w:ascii="Mendl Sans Dusk Regular" w:hAnsi="Mendl Sans Dusk Regular" w:cs="Mendl Sans Dusk Regular" w:eastAsia="Mendl Sans Dusk Regular"/>
                <w:b w:val="0"/>
                <w:i w:val="0"/>
                <w:color w:val="000000"/>
                <w:sz w:val="20"/>
              </w:rPr>
              <w:t>IT Specialist</w:t>
            </w:r>
          </w:p>
        </w:tc>
        <w:tc>
          <w:tcPr>
            <w:tcW w:type="dxa" w:w="2160"/>
          </w:tcPr>
          <w:p>
            <w:pPr>
              <w:widowControl/>
            </w:pPr>
            <w:r>
              <w:rPr>
                <w:rFonts w:ascii="Mendl Sans Dusk Regular" w:hAnsi="Mendl Sans Dusk Regular" w:cs="Mendl Sans Dusk Regular" w:eastAsia="Mendl Sans Dusk Regular"/>
                <w:b w:val="0"/>
                <w:i w:val="0"/>
                <w:color w:val="000000"/>
                <w:sz w:val="20"/>
              </w:rPr>
              <w:t>Governs M365, Procore RBAC, data retention, and cybersecurity.</w:t>
            </w:r>
          </w:p>
        </w:tc>
      </w:tr>
      <w:tr>
        <w:tc>
          <w:tcPr>
            <w:tcW w:type="dxa" w:w="2160"/>
          </w:tcPr>
          <w:p>
            <w:pPr>
              <w:widowControl/>
            </w:pPr>
            <w:r>
              <w:rPr>
                <w:rFonts w:ascii="Mendl Sans Dusk Regular" w:hAnsi="Mendl Sans Dusk Regular" w:cs="Mendl Sans Dusk Regular" w:eastAsia="Mendl Sans Dusk Regular"/>
                <w:b w:val="0"/>
                <w:i w:val="0"/>
                <w:color w:val="000000"/>
                <w:sz w:val="20"/>
              </w:rPr>
              <w:t>NE</w:t>
            </w:r>
          </w:p>
        </w:tc>
        <w:tc>
          <w:tcPr>
            <w:tcW w:type="dxa" w:w="2160"/>
          </w:tcPr>
          <w:p>
            <w:pPr>
              <w:widowControl/>
            </w:pPr>
            <w:r>
              <w:rPr>
                <w:rFonts w:ascii="Mendl Sans Dusk Regular" w:hAnsi="Mendl Sans Dusk Regular" w:cs="Mendl Sans Dusk Regular" w:eastAsia="Mendl Sans Dusk Regular"/>
                <w:b w:val="0"/>
                <w:i w:val="0"/>
                <w:color w:val="000000"/>
                <w:sz w:val="20"/>
              </w:rPr>
              <w:t>New Employee Orientation Guide</w:t>
            </w:r>
          </w:p>
        </w:tc>
        <w:tc>
          <w:tcPr>
            <w:tcW w:type="dxa" w:w="2160"/>
          </w:tcPr>
          <w:p>
            <w:pPr>
              <w:widowControl/>
            </w:pPr>
            <w:r>
              <w:rPr>
                <w:rFonts w:ascii="Mendl Sans Dusk Regular" w:hAnsi="Mendl Sans Dusk Regular" w:cs="Mendl Sans Dusk Regular" w:eastAsia="Mendl Sans Dusk Regular"/>
                <w:b w:val="0"/>
                <w:i w:val="0"/>
                <w:color w:val="000000"/>
                <w:sz w:val="20"/>
              </w:rPr>
              <w:t>HR Director</w:t>
            </w:r>
          </w:p>
        </w:tc>
        <w:tc>
          <w:tcPr>
            <w:tcW w:type="dxa" w:w="2160"/>
          </w:tcPr>
          <w:p>
            <w:pPr>
              <w:widowControl/>
            </w:pPr>
            <w:r>
              <w:rPr>
                <w:rFonts w:ascii="Mendl Sans Dusk Regular" w:hAnsi="Mendl Sans Dusk Regular" w:cs="Mendl Sans Dusk Regular" w:eastAsia="Mendl Sans Dusk Regular"/>
                <w:b w:val="0"/>
                <w:i w:val="0"/>
                <w:color w:val="000000"/>
                <w:sz w:val="20"/>
              </w:rPr>
              <w:t>Governs the 30/60/90-day onboarding milestones and system provisioning.</w:t>
            </w:r>
          </w:p>
        </w:tc>
      </w:tr>
    </w:tbl>
    <w:p>
      <w:pPr>
        <w:widowControl/>
      </w:pPr>
    </w:p>
    <w:p>
      <w:pPr>
        <w:widowControl/>
      </w:pPr>
      <w:r>
        <w:rPr>
          <w:rFonts w:ascii="Mendl Sans Dusk Regular" w:hAnsi="Mendl Sans Dusk Regular" w:eastAsia="Mendl Sans Dusk Regular" w:cs="Mendl Sans Dusk Regular"/>
          <w:sz w:val="22"/>
        </w:rPr>
        <w:t>GENERAL ORDER: This index is the authoritative register for all MH Construction documents.</w:t>
      </w:r>
    </w:p>
    <w:p>
      <w:pPr>
        <w:widowControl/>
      </w:pPr>
      <w:r>
        <w:rPr>
          <w:rFonts w:ascii="Mendl Sans Dusk Regular" w:hAnsi="Mendl Sans Dusk Regular" w:eastAsia="Mendl Sans Dusk Regular" w:cs="Mendl Sans Dusk Regular"/>
          <w:sz w:val="22"/>
        </w:rPr>
        <w:t>FIELD INSTRUCTION: Submit any proposed additions or revisions to the COO for approval.</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