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3"/>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Operations Manual Raci Appendix</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CORE DOCTRINE\nControlled file: mh-operations-manual-raci-appendix-v1-0-draft.docx\nLifecycle: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widowControl/>
        <w:jc w:val="center"/>
      </w:pPr>
      <w:r>
        <w:rPr>
          <w:rFonts w:ascii="Mendl Sans Dusk Regular" w:hAnsi="Mendl Sans Dusk Regular" w:eastAsia="Mendl Sans Dusk Regular" w:cs="Mendl Sans Dusk Regular"/>
          <w:b/>
          <w:color w:val="386851"/>
          <w:sz w:val="22"/>
        </w:rPr>
        <w:t>MH CONSTRUCTION, INC.</w:t>
        <w:br/>
        <w:t>3111 N. Capitol Ave., Pasco, WA 99301 | (509) 308-6489 | office@mhc-gc.com</w:t>
      </w:r>
    </w:p>
    <w:p>
      <w:pPr>
        <w:widowControl/>
        <w:jc w:val="center"/>
      </w:pPr>
      <w:r>
        <w:rPr>
          <w:rFonts w:ascii="Mendl Sans Dusk Regular" w:hAnsi="Mendl Sans Dusk Regular" w:cs="Mendl Sans Dusk Regular" w:eastAsia="Mendl Sans Dusk Regular"/>
          <w:b/>
          <w:i w:val="0"/>
          <w:color w:val="000000"/>
          <w:sz w:val="22"/>
        </w:rPr>
        <w:t>MH CONSTRUCTION, INC.</w:t>
      </w:r>
    </w:p>
    <w:p>
      <w:pPr>
        <w:widowControl/>
        <w:jc w:val="center"/>
      </w:pPr>
      <w:r>
        <w:rPr>
          <w:rFonts w:ascii="Mendl Sans Dusk Regular" w:hAnsi="Mendl Sans Dusk Regular" w:cs="Mendl Sans Dusk Regular" w:eastAsia="Mendl Sans Dusk Regular"/>
          <w:b/>
          <w:i w:val="0"/>
          <w:color w:val="000000"/>
          <w:sz w:val="22"/>
        </w:rPr>
        <w:t>APPENDIX A: ENTERPRISE RACI MATRIX</w:t>
      </w:r>
    </w:p>
    <w:p>
      <w:pPr>
        <w:widowControl/>
      </w:pPr>
      <w:r>
        <w:rPr>
          <w:rFonts w:ascii="Mendl Sans Dusk Regular" w:hAnsi="Mendl Sans Dusk Regular" w:cs="Mendl Sans Dusk Regular" w:eastAsia="Mendl Sans Dusk Regular"/>
          <w:b w:val="0"/>
          <w:i w:val="0"/>
          <w:color w:val="000000"/>
          <w:sz w:val="22"/>
        </w:rPr>
        <w:br w:type="page"/>
      </w:r>
    </w:p>
    <w:p>
      <w:pPr>
        <w:widowControl/>
      </w:pPr>
      <w:r>
        <w:rPr>
          <w:rFonts w:ascii="Mendl Sans Dusk Regular" w:hAnsi="Mendl Sans Dusk Regular" w:cs="Mendl Sans Dusk Regular" w:eastAsia="Mendl Sans Dusk Regular"/>
          <w:b/>
          <w:i w:val="0"/>
          <w:color w:val="000000"/>
          <w:sz w:val="22"/>
        </w:rPr>
        <w:t>ENTERPRISE DOCUMENT ECOSYSTEM RACI MATRIX</w:t>
      </w:r>
    </w:p>
    <w:p>
      <w:pPr>
        <w:widowControl/>
      </w:pPr>
      <w:r>
        <w:rPr>
          <w:rFonts w:ascii="Mendl Sans Dusk Regular" w:hAnsi="Mendl Sans Dusk Regular" w:cs="Mendl Sans Dusk Regular" w:eastAsia="Mendl Sans Dusk Regular"/>
          <w:b w:val="0"/>
          <w:i w:val="0"/>
          <w:color w:val="000000"/>
          <w:sz w:val="22"/>
        </w:rPr>
        <w:t>R = Responsible (Does the work) | A = Accountable (Final approval/ownership) | C = Consulted (Provides input) | I = Informed (Kept in the loop)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386851"/>
            <w:vAlign w:val="center"/>
          </w:tcPr>
          <w:p>
            <w:pPr>
              <w:widowControl/>
            </w:pPr>
            <w:r>
              <w:rPr>
                <w:rFonts w:ascii="Mendl Sans Dusk Medium" w:hAnsi="Mendl Sans Dusk Medium" w:cs="Mendl Sans Dusk Medium" w:eastAsia="Mendl Sans Dusk Medium"/>
                <w:b/>
                <w:i w:val="0"/>
                <w:color w:val="FFFFFF"/>
                <w:sz w:val="18"/>
              </w:rPr>
              <w:t>Document Family</w:t>
            </w:r>
          </w:p>
        </w:tc>
        <w:tc>
          <w:tcPr>
            <w:tcW w:type="dxa" w:w="1440"/>
            <w:shd w:fill="386851"/>
            <w:vAlign w:val="center"/>
          </w:tcPr>
          <w:p>
            <w:pPr>
              <w:widowControl/>
            </w:pPr>
            <w:r>
              <w:rPr>
                <w:rFonts w:ascii="Mendl Sans Dusk Medium" w:hAnsi="Mendl Sans Dusk Medium" w:cs="Mendl Sans Dusk Medium" w:eastAsia="Mendl Sans Dusk Medium"/>
                <w:b/>
                <w:i w:val="0"/>
                <w:color w:val="FFFFFF"/>
                <w:sz w:val="18"/>
              </w:rPr>
              <w:t>CEO</w:t>
            </w:r>
          </w:p>
        </w:tc>
        <w:tc>
          <w:tcPr>
            <w:tcW w:type="dxa" w:w="1440"/>
            <w:shd w:fill="386851"/>
            <w:vAlign w:val="center"/>
          </w:tcPr>
          <w:p>
            <w:pPr>
              <w:widowControl/>
            </w:pPr>
            <w:r>
              <w:rPr>
                <w:rFonts w:ascii="Mendl Sans Dusk Medium" w:hAnsi="Mendl Sans Dusk Medium" w:cs="Mendl Sans Dusk Medium" w:eastAsia="Mendl Sans Dusk Medium"/>
                <w:b/>
                <w:i w:val="0"/>
                <w:color w:val="FFFFFF"/>
                <w:sz w:val="18"/>
              </w:rPr>
              <w:t>COO</w:t>
            </w:r>
          </w:p>
        </w:tc>
        <w:tc>
          <w:tcPr>
            <w:tcW w:type="dxa" w:w="1440"/>
            <w:shd w:fill="386851"/>
            <w:vAlign w:val="center"/>
          </w:tcPr>
          <w:p>
            <w:pPr>
              <w:widowControl/>
            </w:pPr>
            <w:r>
              <w:rPr>
                <w:rFonts w:ascii="Mendl Sans Dusk Medium" w:hAnsi="Mendl Sans Dusk Medium" w:cs="Mendl Sans Dusk Medium" w:eastAsia="Mendl Sans Dusk Medium"/>
                <w:b/>
                <w:i w:val="0"/>
                <w:color w:val="FFFFFF"/>
                <w:sz w:val="18"/>
              </w:rPr>
              <w:t>CFO / HR</w:t>
            </w:r>
          </w:p>
        </w:tc>
        <w:tc>
          <w:tcPr>
            <w:tcW w:type="dxa" w:w="1440"/>
            <w:shd w:fill="386851"/>
            <w:vAlign w:val="center"/>
          </w:tcPr>
          <w:p>
            <w:pPr>
              <w:widowControl/>
            </w:pPr>
            <w:r>
              <w:rPr>
                <w:rFonts w:ascii="Mendl Sans Dusk Medium" w:hAnsi="Mendl Sans Dusk Medium" w:cs="Mendl Sans Dusk Medium" w:eastAsia="Mendl Sans Dusk Medium"/>
                <w:b/>
                <w:i w:val="0"/>
                <w:color w:val="FFFFFF"/>
                <w:sz w:val="18"/>
              </w:rPr>
              <w:t>PM / Estimating</w:t>
            </w:r>
          </w:p>
        </w:tc>
        <w:tc>
          <w:tcPr>
            <w:tcW w:type="dxa" w:w="1440"/>
            <w:shd w:fill="386851"/>
            <w:vAlign w:val="center"/>
          </w:tcPr>
          <w:p>
            <w:pPr>
              <w:widowControl/>
            </w:pPr>
            <w:r>
              <w:rPr>
                <w:rFonts w:ascii="Mendl Sans Dusk Medium" w:hAnsi="Mendl Sans Dusk Medium" w:cs="Mendl Sans Dusk Medium" w:eastAsia="Mendl Sans Dusk Medium"/>
                <w:b/>
                <w:i w:val="0"/>
                <w:color w:val="FFFFFF"/>
                <w:sz w:val="18"/>
              </w:rPr>
              <w:t>Safety / Field</w:t>
            </w:r>
          </w:p>
        </w:tc>
      </w:tr>
      <w:tr>
        <w:tc>
          <w:tcPr>
            <w:tcW w:type="dxa" w:w="1440"/>
          </w:tcPr>
          <w:p>
            <w:pPr>
              <w:widowControl/>
            </w:pPr>
            <w:r>
              <w:rPr>
                <w:rFonts w:ascii="Mendl Sans Dusk Regular" w:hAnsi="Mendl Sans Dusk Regular" w:cs="Mendl Sans Dusk Regular" w:eastAsia="Mendl Sans Dusk Regular"/>
                <w:b w:val="0"/>
                <w:i w:val="0"/>
                <w:color w:val="000000"/>
                <w:sz w:val="20"/>
              </w:rPr>
              <w:t>Employee Handbook (EHB)</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r>
      <w:tr>
        <w:tc>
          <w:tcPr>
            <w:tcW w:type="dxa" w:w="1440"/>
          </w:tcPr>
          <w:p>
            <w:pPr>
              <w:widowControl/>
            </w:pPr>
            <w:r>
              <w:rPr>
                <w:rFonts w:ascii="Mendl Sans Dusk Regular" w:hAnsi="Mendl Sans Dusk Regular" w:cs="Mendl Sans Dusk Regular" w:eastAsia="Mendl Sans Dusk Regular"/>
                <w:b w:val="0"/>
                <w:i w:val="0"/>
                <w:color w:val="000000"/>
                <w:sz w:val="20"/>
              </w:rPr>
              <w:t>Operations Manual (OPS)</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r>
      <w:tr>
        <w:tc>
          <w:tcPr>
            <w:tcW w:type="dxa" w:w="1440"/>
          </w:tcPr>
          <w:p>
            <w:pPr>
              <w:widowControl/>
            </w:pPr>
            <w:r>
              <w:rPr>
                <w:rFonts w:ascii="Mendl Sans Dusk Regular" w:hAnsi="Mendl Sans Dusk Regular" w:cs="Mendl Sans Dusk Regular" w:eastAsia="Mendl Sans Dusk Regular"/>
                <w:b w:val="0"/>
                <w:i w:val="0"/>
                <w:color w:val="000000"/>
                <w:sz w:val="20"/>
              </w:rPr>
              <w:t>Risk Management Playbook (RM)</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r>
      <w:tr>
        <w:tc>
          <w:tcPr>
            <w:tcW w:type="dxa" w:w="1440"/>
          </w:tcPr>
          <w:p>
            <w:pPr>
              <w:widowControl/>
            </w:pPr>
            <w:r>
              <w:rPr>
                <w:rFonts w:ascii="Mendl Sans Dusk Regular" w:hAnsi="Mendl Sans Dusk Regular" w:cs="Mendl Sans Dusk Regular" w:eastAsia="Mendl Sans Dusk Regular"/>
                <w:b w:val="0"/>
                <w:i w:val="0"/>
                <w:color w:val="000000"/>
                <w:sz w:val="20"/>
              </w:rPr>
              <w:t>Workforce Development Matrix (HR)</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r>
      <w:tr>
        <w:tc>
          <w:tcPr>
            <w:tcW w:type="dxa" w:w="1440"/>
          </w:tcPr>
          <w:p>
            <w:pPr>
              <w:widowControl/>
            </w:pPr>
            <w:r>
              <w:rPr>
                <w:rFonts w:ascii="Mendl Sans Dusk Regular" w:hAnsi="Mendl Sans Dusk Regular" w:cs="Mendl Sans Dusk Regular" w:eastAsia="Mendl Sans Dusk Regular"/>
                <w:b w:val="0"/>
                <w:i w:val="0"/>
                <w:color w:val="000000"/>
                <w:sz w:val="20"/>
              </w:rPr>
              <w:t>Sales &amp; Estimating Guide (SE)</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r>
      <w:tr>
        <w:tc>
          <w:tcPr>
            <w:tcW w:type="dxa" w:w="1440"/>
          </w:tcPr>
          <w:p>
            <w:pPr>
              <w:widowControl/>
            </w:pPr>
            <w:r>
              <w:rPr>
                <w:rFonts w:ascii="Mendl Sans Dusk Regular" w:hAnsi="Mendl Sans Dusk Regular" w:cs="Mendl Sans Dusk Regular" w:eastAsia="Mendl Sans Dusk Regular"/>
                <w:b w:val="0"/>
                <w:i w:val="0"/>
                <w:color w:val="000000"/>
                <w:sz w:val="20"/>
              </w:rPr>
              <w:t>Project Execution Playbook (PEP)</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r>
      <w:tr>
        <w:tc>
          <w:tcPr>
            <w:tcW w:type="dxa" w:w="1440"/>
          </w:tcPr>
          <w:p>
            <w:pPr>
              <w:widowControl/>
            </w:pPr>
            <w:r>
              <w:rPr>
                <w:rFonts w:ascii="Mendl Sans Dusk Regular" w:hAnsi="Mendl Sans Dusk Regular" w:cs="Mendl Sans Dusk Regular" w:eastAsia="Mendl Sans Dusk Regular"/>
                <w:b w:val="0"/>
                <w:i w:val="0"/>
                <w:color w:val="000000"/>
                <w:sz w:val="20"/>
              </w:rPr>
              <w:t>Financial Controls Guide (FIN)</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r>
      <w:tr>
        <w:tc>
          <w:tcPr>
            <w:tcW w:type="dxa" w:w="1440"/>
          </w:tcPr>
          <w:p>
            <w:pPr>
              <w:widowControl/>
            </w:pPr>
            <w:r>
              <w:rPr>
                <w:rFonts w:ascii="Mendl Sans Dusk Regular" w:hAnsi="Mendl Sans Dusk Regular" w:cs="Mendl Sans Dusk Regular" w:eastAsia="Mendl Sans Dusk Regular"/>
                <w:b w:val="0"/>
                <w:i w:val="0"/>
                <w:color w:val="000000"/>
                <w:sz w:val="20"/>
              </w:rPr>
              <w:t>MISH Safety Manual (MISH)</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r>
      <w:tr>
        <w:tc>
          <w:tcPr>
            <w:tcW w:type="dxa" w:w="1440"/>
          </w:tcPr>
          <w:p>
            <w:pPr>
              <w:widowControl/>
            </w:pPr>
            <w:r>
              <w:rPr>
                <w:rFonts w:ascii="Mendl Sans Dusk Regular" w:hAnsi="Mendl Sans Dusk Regular" w:cs="Mendl Sans Dusk Regular" w:eastAsia="Mendl Sans Dusk Regular"/>
                <w:b w:val="0"/>
                <w:i w:val="0"/>
                <w:color w:val="000000"/>
                <w:sz w:val="20"/>
              </w:rPr>
              <w:t>Quality Management Plan (QMP)</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A</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c>
          <w:tcPr>
            <w:tcW w:type="dxa" w:w="1440"/>
          </w:tcPr>
          <w:p>
            <w:pPr>
              <w:widowControl/>
            </w:pPr>
            <w:r>
              <w:rPr>
                <w:rFonts w:ascii="Mendl Sans Dusk Regular" w:hAnsi="Mendl Sans Dusk Regular" w:cs="Mendl Sans Dusk Regular" w:eastAsia="Mendl Sans Dusk Regular"/>
                <w:b w:val="0"/>
                <w:i w:val="0"/>
                <w:color w:val="000000"/>
                <w:sz w:val="20"/>
              </w:rPr>
              <w:t>C</w:t>
            </w:r>
          </w:p>
        </w:tc>
      </w:tr>
      <w:tr>
        <w:tc>
          <w:tcPr>
            <w:tcW w:type="dxa" w:w="1440"/>
          </w:tcPr>
          <w:p>
            <w:pPr>
              <w:widowControl/>
            </w:pPr>
            <w:r>
              <w:rPr>
                <w:rFonts w:ascii="Mendl Sans Dusk Regular" w:hAnsi="Mendl Sans Dusk Regular" w:cs="Mendl Sans Dusk Regular" w:eastAsia="Mendl Sans Dusk Regular"/>
                <w:b w:val="0"/>
                <w:i w:val="0"/>
                <w:color w:val="000000"/>
                <w:sz w:val="20"/>
              </w:rPr>
              <w:t>Toolbox Talk Program (TBT)</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I</w:t>
            </w:r>
          </w:p>
        </w:tc>
        <w:tc>
          <w:tcPr>
            <w:tcW w:type="dxa" w:w="1440"/>
          </w:tcPr>
          <w:p>
            <w:pPr>
              <w:widowControl/>
            </w:pPr>
            <w:r>
              <w:rPr>
                <w:rFonts w:ascii="Mendl Sans Dusk Regular" w:hAnsi="Mendl Sans Dusk Regular" w:cs="Mendl Sans Dusk Regular" w:eastAsia="Mendl Sans Dusk Regular"/>
                <w:b w:val="0"/>
                <w:i w:val="0"/>
                <w:color w:val="000000"/>
                <w:sz w:val="20"/>
              </w:rPr>
              <w:t>R</w:t>
            </w:r>
          </w:p>
        </w:tc>
      </w:tr>
    </w:tbl>
    <w:p>
      <w:pPr>
        <w:widowControl/>
      </w:pPr>
      <w:r>
        <w:rPr>
          <w:rFonts w:ascii="Mendl Sans Dusk Regular" w:hAnsi="Mendl Sans Dusk Regular" w:eastAsia="Mendl Sans Dusk Regular" w:cs="Mendl Sans Dusk Regular"/>
          <w:sz w:val="22"/>
        </w:rPr>
        <w:t>Implementation &amp; Governance</w:t>
        <w:br/>
        <w:t>The directives and procedures outlined in this document are mandatory for all MH Construction personnel and authorized subcontractors. The Chief Operating Officer (COO) and designated Department Heads are responsible for the enforcement, regular review, and continuous improvement of these standards. Any deviations from this protocol must be formally requested via an RFI and approved in writing by the Executive Command tier prior to execution. This document is a living standard and will be updated as required to maintain alignment with enterprise strategy, regulatory changes, and operational best practices.</w:t>
      </w:r>
    </w:p>
    <w:p>
      <w:pPr>
        <w:widowControl/>
      </w:pPr>
      <w:r>
        <w:rPr>
          <w:rFonts w:ascii="Mendl Sans Dusk Regular" w:hAnsi="Mendl Sans Dusk Regular" w:eastAsia="Mendl Sans Dusk Regular" w:cs="Mendl Sans Dusk Regular"/>
          <w:sz w:val="22"/>
        </w:rPr>
        <w:br/>
        <w:t>DIRECTIVE</w:t>
        <w:br/>
        <w:t>All personnel must comply with the protocols herein.</w:t>
        <w:br/>
        <w:t>GENERAL ORDER</w:t>
        <w:br/>
        <w:t>Managers will enforce these rules.</w:t>
        <w:br/>
        <w:t>FIELD INSTRUCTION</w:t>
        <w:br/>
        <w:t>Execute tasks safely.</w:t>
        <w:br/>
      </w:r>
    </w:p>
    <w:p>
      <w:pPr>
        <w:widowControl/>
      </w:pPr>
      <w:r>
        <w:rPr>
          <w:rFonts w:ascii="Mendl Sans Dusk Regular" w:hAnsi="Mendl Sans Dusk Regular" w:eastAsia="Mendl Sans Dusk Regular" w:cs="Mendl Sans Dusk Regular"/>
          <w:sz w:val="22"/>
        </w:rPr>
        <w:t xml:space="preserve">This document is a critical component of the MH Construction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w:t>
      </w:r>
    </w:p>
    <w:sectPr w:rsidR="00FC693F" w:rsidRPr="0006063C" w:rsidSect="00034616">
      <w:headerReference w:type="default" r:id="rId9"/>
      <w:footerReference w:type="default" r:id="rId10"/>
      <w:headerReference w:type="first" r:id="rId11"/>
      <w:footerReference w:type="first" r:id="rId12"/>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