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3"/>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Rm01 Bonding Addendum</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CORE DOCTRINE\nControlled file: mh-rm01-bonding-addendum-v1-0-draft.docx\nLifecycle: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jc w:val="center"/>
      </w:pPr>
      <w:r>
        <w:rPr>
          <w:rFonts w:ascii="Mendl Sans Dusk Regular" w:hAnsi="Mendl Sans Dusk Regular" w:eastAsia="Mendl Sans Dusk Regular" w:cs="Mendl Sans Dusk Regular"/>
          <w:b/>
          <w:color w:val="386851"/>
          <w:sz w:val="22"/>
        </w:rPr>
        <w:t>MH CONSTRUCTION, INC.</w:t>
        <w:br/>
        <w:t>3111 N. Capitol Ave., Pasco, WA 99301 | (509) 308-6489 | office@mhc-gc.com</w:t>
      </w:r>
    </w:p>
    <w:p>
      <w:pPr>
        <w:widowControl/>
        <w:jc w:val="center"/>
      </w:pPr>
      <w:r>
        <w:rPr>
          <w:rFonts w:ascii="Mendl Sans Dusk Regular" w:hAnsi="Mendl Sans Dusk Regular" w:cs="Mendl Sans Dusk Regular" w:eastAsia="Mendl Sans Dusk Regular"/>
          <w:b/>
          <w:i w:val="0"/>
          <w:color w:val="000000"/>
          <w:sz w:val="22"/>
        </w:rPr>
        <w:t>MH CONSTRUCTION, INC.</w:t>
      </w:r>
    </w:p>
    <w:p>
      <w:pPr>
        <w:widowControl/>
        <w:jc w:val="center"/>
      </w:pPr>
      <w:r>
        <w:rPr>
          <w:rFonts w:ascii="Mendl Sans Dusk Regular" w:hAnsi="Mendl Sans Dusk Regular" w:cs="Mendl Sans Dusk Regular" w:eastAsia="Mendl Sans Dusk Regular"/>
          <w:b/>
          <w:i w:val="0"/>
          <w:color w:val="000000"/>
          <w:sz w:val="22"/>
        </w:rPr>
        <w:t>CORPORATE RISK MANAGEMENT PLAYBOOK (RM-01)</w:t>
        <w:br/>
        <w:t>ADDENDUM: BONDING &amp; SURETY MANAGEMENT</w:t>
      </w:r>
    </w:p>
    <w:p>
      <w:pPr>
        <w:widowControl/>
      </w:pPr>
      <w:r>
        <w:rPr>
          <w:rFonts w:ascii="Mendl Sans Dusk Regular" w:hAnsi="Mendl Sans Dusk Regular" w:cs="Mendl Sans Dusk Regular" w:eastAsia="Mendl Sans Dusk Regular"/>
          <w:b w:val="0"/>
          <w:i w:val="0"/>
          <w:color w:val="000000"/>
          <w:sz w:val="22"/>
        </w:rPr>
        <w:br w:type="page"/>
      </w:r>
    </w:p>
    <w:p>
      <w:pPr>
        <w:widowControl/>
      </w:pPr>
      <w:r>
        <w:rPr>
          <w:rFonts w:ascii="Mendl Sans Dusk Regular" w:hAnsi="Mendl Sans Dusk Regular" w:cs="Mendl Sans Dusk Regular" w:eastAsia="Mendl Sans Dusk Regular"/>
          <w:b/>
          <w:i w:val="0"/>
          <w:color w:val="000000"/>
          <w:sz w:val="22"/>
        </w:rPr>
        <w:t>RM-06.0: BONDING &amp; SURETY MANAGEMENT</w:t>
      </w:r>
    </w:p>
    <w:p>
      <w:pPr>
        <w:widowControl/>
      </w:pPr>
      <w:r>
        <w:rPr>
          <w:rFonts w:ascii="Mendl Sans Dusk Regular" w:hAnsi="Mendl Sans Dusk Regular" w:cs="Mendl Sans Dusk Regular" w:eastAsia="Mendl Sans Dusk Regular"/>
          <w:b/>
          <w:i w:val="0"/>
          <w:color w:val="000000"/>
          <w:sz w:val="22"/>
        </w:rPr>
        <w:t>DIRECTIVE: RM-06-DIR-01: MH Construction must protect its surety relationship at all costs. A bond default is an existential threat to the enterprise.</w:t>
      </w:r>
    </w:p>
    <w:p>
      <w:pPr>
        <w:widowControl/>
      </w:pPr>
      <w:r>
        <w:rPr>
          <w:rFonts w:ascii="Mendl Sans Dusk Regular" w:hAnsi="Mendl Sans Dusk Regular" w:cs="Mendl Sans Dusk Regular" w:eastAsia="Mendl Sans Dusk Regular"/>
          <w:b/>
          <w:i w:val="0"/>
          <w:color w:val="000000"/>
          <w:sz w:val="22"/>
        </w:rPr>
        <w:t>GENERAL ORDER: RM-06-GO-01: Miller Act and RCW 39.08 Compliance. For all municipal and federal contracts exceeding $150,000, the CFO must secure Payment and Performance Bonds prior to mobilization.</w:t>
      </w:r>
    </w:p>
    <w:p>
      <w:pPr>
        <w:widowControl/>
      </w:pPr>
      <w:r>
        <w:rPr>
          <w:rFonts w:ascii="Mendl Sans Dusk Regular" w:hAnsi="Mendl Sans Dusk Regular" w:cs="Mendl Sans Dusk Regular" w:eastAsia="Mendl Sans Dusk Regular"/>
          <w:b w:val="0"/>
          <w:i w:val="0"/>
          <w:color w:val="000000"/>
          <w:sz w:val="22"/>
        </w:rPr>
        <w:t>The CFO is responsible for providing the surety company with quarterly WIP schedules and year-end audited financials to maintain the company's aggregate bonding capacity. Any notice of claim against an MH Construction payment bond by a subcontractor must be reported to the CEO immediately.</w:t>
      </w:r>
    </w:p>
    <w:p>
      <w:pPr>
        <w:widowControl/>
      </w:pPr>
      <w:r>
        <w:rPr>
          <w:rFonts w:ascii="Mendl Sans Dusk Regular" w:hAnsi="Mendl Sans Dusk Regular" w:eastAsia="Mendl Sans Dusk Regular" w:cs="Mendl Sans Dusk Regular"/>
          <w:sz w:val="22"/>
        </w:rPr>
        <w:t>Implementation &amp; Governance</w:t>
        <w:br/>
        <w:t>The directives and procedures outlined in this document are mandatory for all MH Construction personnel and authorized subcontractors. The Chief Operating Officer (COO) and designated Department Heads are responsible for the enforcement, regular review, and continuous improvement of these standards. Any deviations from this protocol must be formally requested via an RFI and approved in writing by the Executive Command tier prior to execution. This document is a living standard and will be updated as required to maintain alignment with enterprise strategy, regulatory changes, and operational best practices.</w:t>
      </w:r>
    </w:p>
    <w:p>
      <w:pPr>
        <w:widowControl/>
      </w:pPr>
      <w:r>
        <w:rPr>
          <w:rFonts w:ascii="Mendl Sans Dusk Regular" w:hAnsi="Mendl Sans Dusk Regular" w:eastAsia="Mendl Sans Dusk Regular" w:cs="Mendl Sans Dusk Regular"/>
          <w:sz w:val="22"/>
        </w:rPr>
        <w:br/>
        <w:t>DIRECTIVE</w:t>
        <w:br/>
        <w:t>All personnel must comply with the protocols herein.</w:t>
        <w:br/>
        <w:t>GENERAL ORDER</w:t>
        <w:br/>
        <w:t>Managers will enforce these rules.</w:t>
        <w:br/>
        <w:t>FIELD INSTRUCTION</w:t>
        <w:br/>
        <w:t>Execute tasks safely.</w:t>
        <w:br/>
      </w:r>
    </w:p>
    <w:p>
      <w:pPr>
        <w:widowControl/>
      </w:pPr>
      <w:r>
        <w:rPr>
          <w:rFonts w:ascii="Mendl Sans Dusk Regular" w:hAnsi="Mendl Sans Dusk Regular" w:eastAsia="Mendl Sans Dusk Regular" w:cs="Mendl Sans Dusk Regular"/>
          <w:sz w:val="22"/>
        </w:rPr>
        <w:t xml:space="preserve">This document is a critical component of the MH Construction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w:t>
      </w:r>
    </w:p>
    <w:sectPr w:rsidR="00FC693F" w:rsidRPr="0006063C" w:rsidSect="00034616">
      <w:headerReference w:type="default" r:id="rId9"/>
      <w:footerReference w:type="default" r:id="rId10"/>
      <w:headerReference w:type="first" r:id="rId11"/>
      <w:footerReference w:type="first" r:id="rId12"/>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