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spacing w:after="840"/>
              <w:jc w:val="center"/>
            </w:pPr>
            <w:r>
              <w:drawing>
                <wp:inline xmlns:a="http://schemas.openxmlformats.org/drawingml/2006/main" xmlns:pic="http://schemas.openxmlformats.org/drawingml/2006/picture">
                  <wp:extent cx="2148840" cy="1224580"/>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3"/>
                          <a:stretch>
                            <a:fillRect/>
                          </a:stretch>
                        </pic:blipFill>
                        <pic:spPr>
                          <a:xfrm>
                            <a:off x="0" y="0"/>
                            <a:ext cx="2148840" cy="1224580"/>
                          </a:xfrm>
                          <a:prstGeom prst="rect"/>
                        </pic:spPr>
                      </pic:pic>
                    </a:graphicData>
                  </a:graphic>
                </wp:inline>
              </w:drawing>
            </w:r>
          </w:p>
          <w:p>
            <w:pPr>
              <w:spacing w:after="320"/>
              <w:jc w:val="left"/>
            </w:pPr>
            <w:r>
              <w:rPr>
                <w:rFonts w:ascii="Mendl Sans Dusk Medium" w:hAnsi="Mendl Sans Dusk Medium" w:eastAsia="Mendl Sans Dusk Medium" w:cs="Mendl Sans Dusk Medium"/>
                <w:b/>
                <w:color w:val="BD9264"/>
                <w:sz w:val="18"/>
              </w:rPr>
              <w:t>CONTROLLED ENTERPRISE DOCUMENT</w:t>
            </w:r>
          </w:p>
          <w:p>
            <w:pPr>
              <w:spacing w:after="220"/>
              <w:jc w:val="left"/>
            </w:pPr>
            <w:r>
              <w:rPr>
                <w:rFonts w:ascii="Mendl Sans Dusk Bold" w:hAnsi="Mendl Sans Dusk Bold" w:eastAsia="Mendl Sans Dusk Bold" w:cs="Mendl Sans Dusk Bold"/>
                <w:b/>
                <w:color w:val="FFFFFF"/>
                <w:sz w:val="50"/>
              </w:rPr>
              <w:t>Bidpilot Sales Estimating Preconstruction Standard</w:t>
            </w:r>
          </w:p>
          <w:p>
            <w:pPr>
              <w:spacing w:after="320"/>
              <w:jc w:val="left"/>
            </w:pPr>
            <w:r>
              <w:rPr>
                <w:rFonts w:ascii="Mendl Sans Dusk Medium" w:hAnsi="Mendl Sans Dusk Medium" w:eastAsia="Mendl Sans Dusk Medium" w:cs="Mendl Sans Dusk Medium"/>
                <w:b/>
                <w:color w:val="628F79"/>
                <w:sz w:val="26"/>
              </w:rPr>
              <w:t>MH Construction Enterprise Management System</w:t>
            </w:r>
          </w:p>
          <w:p>
            <w:pPr>
              <w:spacing w:after="240"/>
              <w:jc w:val="left"/>
            </w:pPr>
            <w:r>
              <w:rPr>
                <w:rFonts w:ascii="Mendl Sans Dusk Regular" w:hAnsi="Mendl Sans Dusk Regular" w:eastAsia="Mendl Sans Dusk Regular" w:cs="Mendl Sans Dusk Regular"/>
                <w:color w:val="FFFFFF"/>
                <w:sz w:val="18"/>
              </w:rPr>
              <w:t>Document family: STRATEGY AND BUSINESS DEVELOPMENT\nControlled file: mh-bidpilot-sales-estimating-preconstruction-standard-v1-0-draft.docx\nLifecycle: Draft</w:t>
            </w:r>
          </w:p>
          <w:p>
            <w:pPr>
              <w:spacing w:before="120"/>
              <w:pBdr>
                <w:bottom w:val="single" w:sz="6" w:space="7" w:color="BD9264"/>
              </w:pBdr>
            </w:pPr>
            <w:r>
              <w:rPr>
                <w:rFonts w:ascii="Mendl Sans Dusk Medium" w:hAnsi="Mendl Sans Dusk Medium" w:eastAsia="Mendl Sans Dusk Medium" w:cs="Mendl Sans Dusk Medium"/>
                <w:b/>
                <w:color w:val="FFFFFF"/>
                <w:sz w:val="18"/>
              </w:rPr>
              <w:t>Use only after required functional, technical, field-usability, and approval gates are complete.</w:t>
            </w:r>
          </w:p>
        </w:tc>
      </w:tr>
    </w:tbl>
    <w:p>
      <w:r>
        <w:br w:type="page"/>
      </w:r>
    </w:p>
    <w:p>
      <w:pPr/>
      <w:r>
        <w:t>Control: Version 1.0 | Status Draft | Author and Chief Editor: Matt Ramsey | Co-Editor: Todd Shoeff | Final Approver: Jeremy Thamert</w:t>
      </w:r>
    </w:p>
    <w:p>
      <w:pPr>
        <w:pStyle w:val="Title"/>
      </w:pPr>
      <w:r>
        <w:t>BidPilot Sales, Estimating, and Preconstruction Standard</w:t>
      </w:r>
    </w:p>
    <w:p>
      <w:pPr>
        <w:pStyle w:val="Subtitle"/>
      </w:pPr>
      <w:r>
        <w:t>Version 1.0 | Draft | Effective date pending approval</w:t>
      </w:r>
    </w:p>
    <w:tbl>
      <w:tblPr>
        <w:tblW w:type="auto" w:w="0"/>
        <w:tblLayout w:type="fixed"/>
        <w:tblLook w:firstColumn="1" w:firstRow="1" w:lastColumn="0" w:lastRow="0" w:noHBand="0" w:noVBand="1" w:val="04A0"/>
      </w:tblPr>
      <w:tblGrid>
        <w:gridCol w:w="4939"/>
        <w:gridCol w:w="4939"/>
      </w:tblGrid>
      <w:tr>
        <w:tc>
          <w:tcPr>
            <w:tcW w:type="dxa" w:w="3168"/>
            <w:vAlign w:val="center"/>
            <w:shd w:fill="386851"/>
          </w:tcPr>
          <w:p>
            <w:r/>
            <w:r>
              <w:rPr>
                <w:rFonts w:ascii="Mendl Sans Dusk Medium" w:hAnsi="Mendl Sans Dusk Medium" w:eastAsia="Mendl Sans Dusk Medium" w:cs="Mendl Sans Dusk Medium"/>
                <w:b/>
                <w:color w:val="FFFFFF"/>
                <w:sz w:val="18"/>
              </w:rPr>
              <w:t>Control Role</w:t>
            </w:r>
          </w:p>
        </w:tc>
        <w:tc>
          <w:tcPr>
            <w:tcW w:type="dxa" w:w="6912"/>
            <w:vAlign w:val="center"/>
            <w:shd w:fill="386851"/>
          </w:tcPr>
          <w:p>
            <w:r/>
            <w:r>
              <w:rPr>
                <w:rFonts w:ascii="Mendl Sans Dusk Medium" w:hAnsi="Mendl Sans Dusk Medium" w:eastAsia="Mendl Sans Dusk Medium" w:cs="Mendl Sans Dusk Medium"/>
                <w:b/>
                <w:color w:val="FFFFFF"/>
                <w:sz w:val="18"/>
              </w:rPr>
              <w:t>Assigned</w:t>
            </w:r>
          </w:p>
        </w:tc>
      </w:tr>
      <w:tr>
        <w:tc>
          <w:tcPr>
            <w:tcW w:type="dxa" w:w="3168"/>
            <w:vAlign w:val="center"/>
          </w:tcPr>
          <w:p>
            <w:r/>
            <w:r>
              <w:rPr>
                <w:rFonts w:ascii="Mendl Sans Dusk Regular" w:hAnsi="Mendl Sans Dusk Regular" w:eastAsia="Mendl Sans Dusk Regular" w:cs="Mendl Sans Dusk Regular"/>
                <w:b w:val="0"/>
                <w:color w:val="202723"/>
                <w:sz w:val="18"/>
              </w:rPr>
              <w:t>Author / Chief Editor</w:t>
            </w:r>
          </w:p>
        </w:tc>
        <w:tc>
          <w:tcPr>
            <w:tcW w:type="dxa" w:w="6912"/>
            <w:vAlign w:val="center"/>
          </w:tcPr>
          <w:p>
            <w:r/>
            <w:r>
              <w:rPr>
                <w:rFonts w:ascii="Mendl Sans Dusk Regular" w:hAnsi="Mendl Sans Dusk Regular" w:eastAsia="Mendl Sans Dusk Regular" w:cs="Mendl Sans Dusk Regular"/>
                <w:b w:val="0"/>
                <w:color w:val="202723"/>
                <w:sz w:val="18"/>
              </w:rPr>
              <w:t>Matt Ramsey</w:t>
            </w:r>
          </w:p>
        </w:tc>
      </w:tr>
      <w:tr>
        <w:tc>
          <w:tcPr>
            <w:tcW w:type="dxa" w:w="3168"/>
            <w:vAlign w:val="center"/>
          </w:tcPr>
          <w:p>
            <w:r/>
            <w:r>
              <w:rPr>
                <w:rFonts w:ascii="Mendl Sans Dusk Regular" w:hAnsi="Mendl Sans Dusk Regular" w:eastAsia="Mendl Sans Dusk Regular" w:cs="Mendl Sans Dusk Regular"/>
                <w:b w:val="0"/>
                <w:color w:val="202723"/>
                <w:sz w:val="18"/>
              </w:rPr>
              <w:t>Co-Editor</w:t>
            </w:r>
          </w:p>
        </w:tc>
        <w:tc>
          <w:tcPr>
            <w:tcW w:type="dxa" w:w="6912"/>
            <w:vAlign w:val="center"/>
          </w:tcPr>
          <w:p>
            <w:r/>
            <w:r>
              <w:rPr>
                <w:rFonts w:ascii="Mendl Sans Dusk Regular" w:hAnsi="Mendl Sans Dusk Regular" w:eastAsia="Mendl Sans Dusk Regular" w:cs="Mendl Sans Dusk Regular"/>
                <w:b w:val="0"/>
                <w:color w:val="202723"/>
                <w:sz w:val="18"/>
              </w:rPr>
              <w:t>Todd Shoeff</w:t>
            </w:r>
          </w:p>
        </w:tc>
      </w:tr>
      <w:tr>
        <w:tc>
          <w:tcPr>
            <w:tcW w:type="dxa" w:w="3168"/>
            <w:vAlign w:val="center"/>
          </w:tcPr>
          <w:p>
            <w:r/>
            <w:r>
              <w:rPr>
                <w:rFonts w:ascii="Mendl Sans Dusk Regular" w:hAnsi="Mendl Sans Dusk Regular" w:eastAsia="Mendl Sans Dusk Regular" w:cs="Mendl Sans Dusk Regular"/>
                <w:b w:val="0"/>
                <w:color w:val="202723"/>
                <w:sz w:val="18"/>
              </w:rPr>
              <w:t>Final Approver</w:t>
            </w:r>
          </w:p>
        </w:tc>
        <w:tc>
          <w:tcPr>
            <w:tcW w:type="dxa" w:w="6912"/>
            <w:vAlign w:val="center"/>
          </w:tcPr>
          <w:p>
            <w:r/>
            <w:r>
              <w:rPr>
                <w:rFonts w:ascii="Mendl Sans Dusk Regular" w:hAnsi="Mendl Sans Dusk Regular" w:eastAsia="Mendl Sans Dusk Regular" w:cs="Mendl Sans Dusk Regular"/>
                <w:b w:val="0"/>
                <w:color w:val="202723"/>
                <w:sz w:val="18"/>
              </w:rPr>
              <w:t>Jeremy Thamert</w:t>
            </w:r>
          </w:p>
        </w:tc>
      </w:tr>
      <w:tr>
        <w:tc>
          <w:tcPr>
            <w:tcW w:type="dxa" w:w="3168"/>
            <w:vAlign w:val="center"/>
          </w:tcPr>
          <w:p>
            <w:r/>
            <w:r>
              <w:rPr>
                <w:rFonts w:ascii="Mendl Sans Dusk Regular" w:hAnsi="Mendl Sans Dusk Regular" w:eastAsia="Mendl Sans Dusk Regular" w:cs="Mendl Sans Dusk Regular"/>
                <w:b w:val="0"/>
                <w:color w:val="202723"/>
                <w:sz w:val="18"/>
              </w:rPr>
              <w:t>Lifecycle</w:t>
            </w:r>
          </w:p>
        </w:tc>
        <w:tc>
          <w:tcPr>
            <w:tcW w:type="dxa" w:w="6912"/>
            <w:vAlign w:val="center"/>
          </w:tcPr>
          <w:p>
            <w:r/>
            <w:r>
              <w:rPr>
                <w:rFonts w:ascii="Mendl Sans Dusk Regular" w:hAnsi="Mendl Sans Dusk Regular" w:eastAsia="Mendl Sans Dusk Regular" w:cs="Mendl Sans Dusk Regular"/>
                <w:b w:val="0"/>
                <w:color w:val="202723"/>
                <w:sz w:val="18"/>
              </w:rPr>
              <w:t>Draft</w:t>
            </w:r>
          </w:p>
        </w:tc>
      </w:tr>
      <w:tr>
        <w:tc>
          <w:tcPr>
            <w:tcW w:type="dxa" w:w="3168"/>
            <w:vAlign w:val="center"/>
          </w:tcPr>
          <w:p>
            <w:r/>
            <w:r>
              <w:rPr>
                <w:rFonts w:ascii="Mendl Sans Dusk Regular" w:hAnsi="Mendl Sans Dusk Regular" w:eastAsia="Mendl Sans Dusk Regular" w:cs="Mendl Sans Dusk Regular"/>
                <w:b w:val="0"/>
                <w:color w:val="202723"/>
                <w:sz w:val="18"/>
              </w:rPr>
              <w:t>Effective Date</w:t>
            </w:r>
          </w:p>
        </w:tc>
        <w:tc>
          <w:tcPr>
            <w:tcW w:type="dxa" w:w="6912"/>
            <w:vAlign w:val="center"/>
          </w:tcPr>
          <w:p>
            <w:r/>
            <w:r>
              <w:rPr>
                <w:rFonts w:ascii="Mendl Sans Dusk Regular" w:hAnsi="Mendl Sans Dusk Regular" w:eastAsia="Mendl Sans Dusk Regular" w:cs="Mendl Sans Dusk Regular"/>
                <w:b w:val="0"/>
                <w:color w:val="202723"/>
                <w:sz w:val="18"/>
              </w:rPr>
              <w:t>Pending Approval</w:t>
            </w:r>
          </w:p>
        </w:tc>
      </w:tr>
    </w:tbl>
    <w:p>
      <w:pPr>
        <w:pStyle w:val="Heading1"/>
      </w:pPr>
      <w:r>
        <w:t>Purpose</w:t>
      </w:r>
    </w:p>
    <w:p>
      <w:r>
        <w:t>Govern the in-house BidPilot portal as the live system of action for Sales, Estimating, and Preconstruction.</w:t>
      </w:r>
    </w:p>
    <w:p>
      <w:pPr>
        <w:pStyle w:val="Heading1"/>
      </w:pPr>
      <w:r>
        <w:t>1. Ownership and systems</w:t>
      </w:r>
    </w:p>
    <w:p>
      <w:r>
        <w:t>CHNAV is functional owner. IT administers the system. CHENG reviews brand, safety, stakeholder, website, and public-claim impacts. COO approves production releases and CEO approves material estimating, margin, contract, risk, and approval-threshold changes. The in-house server is the approved archive; Sage 100 remains financial authority; Procore begins after approved preconstruction or award.</w:t>
      </w:r>
    </w:p>
    <w:p>
      <w:pPr>
        <w:pStyle w:val="Heading1"/>
      </w:pPr>
      <w:r>
        <w:t>2. Stage-gate workflow</w:t>
      </w:r>
    </w:p>
    <w:tbl>
      <w:tblPr>
        <w:tblW w:type="auto" w:w="0"/>
        <w:tblLayout w:type="fixed"/>
        <w:tblLook w:firstColumn="1" w:firstRow="1" w:lastColumn="0" w:lastRow="0" w:noHBand="0" w:noVBand="1" w:val="04A0"/>
      </w:tblPr>
      <w:tblGrid>
        <w:gridCol w:w="4939"/>
        <w:gridCol w:w="4939"/>
      </w:tblGrid>
      <w:tr>
        <w:tc>
          <w:tcPr>
            <w:tcW w:type="dxa" w:w="1152"/>
            <w:vAlign w:val="center"/>
            <w:shd w:fill="386851"/>
          </w:tcPr>
          <w:p>
            <w:r/>
            <w:r>
              <w:rPr>
                <w:rFonts w:ascii="Mendl Sans Dusk Medium" w:hAnsi="Mendl Sans Dusk Medium" w:eastAsia="Mendl Sans Dusk Medium" w:cs="Mendl Sans Dusk Medium"/>
                <w:b/>
                <w:color w:val="FFFFFF"/>
                <w:sz w:val="18"/>
              </w:rPr>
              <w:t>Stage</w:t>
            </w:r>
          </w:p>
        </w:tc>
        <w:tc>
          <w:tcPr>
            <w:tcW w:type="dxa" w:w="8928"/>
            <w:vAlign w:val="center"/>
            <w:shd w:fill="386851"/>
          </w:tcPr>
          <w:p>
            <w:r/>
            <w:r>
              <w:rPr>
                <w:rFonts w:ascii="Mendl Sans Dusk Medium" w:hAnsi="Mendl Sans Dusk Medium" w:eastAsia="Mendl Sans Dusk Medium" w:cs="Mendl Sans Dusk Medium"/>
                <w:b/>
                <w:color w:val="FFFFFF"/>
                <w:sz w:val="18"/>
              </w:rPr>
              <w:t>Required result</w:t>
            </w:r>
          </w:p>
        </w:tc>
      </w:tr>
      <w:tr>
        <w:tc>
          <w:tcPr>
            <w:tcW w:type="dxa" w:w="1152"/>
            <w:vAlign w:val="center"/>
          </w:tcPr>
          <w:p>
            <w:r/>
            <w:r>
              <w:rPr>
                <w:rFonts w:ascii="Mendl Sans Dusk Regular" w:hAnsi="Mendl Sans Dusk Regular" w:eastAsia="Mendl Sans Dusk Regular" w:cs="Mendl Sans Dusk Regular"/>
                <w:b w:val="0"/>
                <w:color w:val="202723"/>
                <w:sz w:val="18"/>
              </w:rPr>
              <w:t>1</w:t>
            </w:r>
          </w:p>
        </w:tc>
        <w:tc>
          <w:tcPr>
            <w:tcW w:type="dxa" w:w="8928"/>
            <w:vAlign w:val="center"/>
          </w:tcPr>
          <w:p>
            <w:r/>
            <w:r>
              <w:rPr>
                <w:rFonts w:ascii="Mendl Sans Dusk Regular" w:hAnsi="Mendl Sans Dusk Regular" w:eastAsia="Mendl Sans Dusk Regular" w:cs="Mendl Sans Dusk Regular"/>
                <w:b w:val="0"/>
                <w:color w:val="202723"/>
                <w:sz w:val="18"/>
              </w:rPr>
              <w:t>Lead identified</w:t>
            </w:r>
          </w:p>
        </w:tc>
      </w:tr>
      <w:tr>
        <w:tc>
          <w:tcPr>
            <w:tcW w:type="dxa" w:w="1152"/>
            <w:vAlign w:val="center"/>
          </w:tcPr>
          <w:p>
            <w:r/>
            <w:r>
              <w:rPr>
                <w:rFonts w:ascii="Mendl Sans Dusk Regular" w:hAnsi="Mendl Sans Dusk Regular" w:eastAsia="Mendl Sans Dusk Regular" w:cs="Mendl Sans Dusk Regular"/>
                <w:b w:val="0"/>
                <w:color w:val="202723"/>
                <w:sz w:val="18"/>
              </w:rPr>
              <w:t>2</w:t>
            </w:r>
          </w:p>
        </w:tc>
        <w:tc>
          <w:tcPr>
            <w:tcW w:type="dxa" w:w="8928"/>
            <w:vAlign w:val="center"/>
          </w:tcPr>
          <w:p>
            <w:r/>
            <w:r>
              <w:rPr>
                <w:rFonts w:ascii="Mendl Sans Dusk Regular" w:hAnsi="Mendl Sans Dusk Regular" w:eastAsia="Mendl Sans Dusk Regular" w:cs="Mendl Sans Dusk Regular"/>
                <w:b w:val="0"/>
                <w:color w:val="202723"/>
                <w:sz w:val="18"/>
              </w:rPr>
              <w:t>Opportunity qualified</w:t>
            </w:r>
          </w:p>
        </w:tc>
      </w:tr>
      <w:tr>
        <w:tc>
          <w:tcPr>
            <w:tcW w:type="dxa" w:w="1152"/>
            <w:vAlign w:val="center"/>
          </w:tcPr>
          <w:p>
            <w:r/>
            <w:r>
              <w:rPr>
                <w:rFonts w:ascii="Mendl Sans Dusk Regular" w:hAnsi="Mendl Sans Dusk Regular" w:eastAsia="Mendl Sans Dusk Regular" w:cs="Mendl Sans Dusk Regular"/>
                <w:b w:val="0"/>
                <w:color w:val="202723"/>
                <w:sz w:val="18"/>
              </w:rPr>
              <w:t>3</w:t>
            </w:r>
          </w:p>
        </w:tc>
        <w:tc>
          <w:tcPr>
            <w:tcW w:type="dxa" w:w="8928"/>
            <w:vAlign w:val="center"/>
          </w:tcPr>
          <w:p>
            <w:r/>
            <w:r>
              <w:rPr>
                <w:rFonts w:ascii="Mendl Sans Dusk Regular" w:hAnsi="Mendl Sans Dusk Regular" w:eastAsia="Mendl Sans Dusk Regular" w:cs="Mendl Sans Dusk Regular"/>
                <w:b w:val="0"/>
                <w:color w:val="202723"/>
                <w:sz w:val="18"/>
              </w:rPr>
              <w:t>Go / no-go approved</w:t>
            </w:r>
          </w:p>
        </w:tc>
      </w:tr>
      <w:tr>
        <w:tc>
          <w:tcPr>
            <w:tcW w:type="dxa" w:w="1152"/>
            <w:vAlign w:val="center"/>
          </w:tcPr>
          <w:p>
            <w:r/>
            <w:r>
              <w:rPr>
                <w:rFonts w:ascii="Mendl Sans Dusk Regular" w:hAnsi="Mendl Sans Dusk Regular" w:eastAsia="Mendl Sans Dusk Regular" w:cs="Mendl Sans Dusk Regular"/>
                <w:b w:val="0"/>
                <w:color w:val="202723"/>
                <w:sz w:val="18"/>
              </w:rPr>
              <w:t>4</w:t>
            </w:r>
          </w:p>
        </w:tc>
        <w:tc>
          <w:tcPr>
            <w:tcW w:type="dxa" w:w="8928"/>
            <w:vAlign w:val="center"/>
          </w:tcPr>
          <w:p>
            <w:r/>
            <w:r>
              <w:rPr>
                <w:rFonts w:ascii="Mendl Sans Dusk Regular" w:hAnsi="Mendl Sans Dusk Regular" w:eastAsia="Mendl Sans Dusk Regular" w:cs="Mendl Sans Dusk Regular"/>
                <w:b w:val="0"/>
                <w:color w:val="202723"/>
                <w:sz w:val="18"/>
              </w:rPr>
              <w:t>Stakeholder and site intelligence complete</w:t>
            </w:r>
          </w:p>
        </w:tc>
      </w:tr>
      <w:tr>
        <w:tc>
          <w:tcPr>
            <w:tcW w:type="dxa" w:w="1152"/>
            <w:vAlign w:val="center"/>
          </w:tcPr>
          <w:p>
            <w:r/>
            <w:r>
              <w:rPr>
                <w:rFonts w:ascii="Mendl Sans Dusk Regular" w:hAnsi="Mendl Sans Dusk Regular" w:eastAsia="Mendl Sans Dusk Regular" w:cs="Mendl Sans Dusk Regular"/>
                <w:b w:val="0"/>
                <w:color w:val="202723"/>
                <w:sz w:val="18"/>
              </w:rPr>
              <w:t>5</w:t>
            </w:r>
          </w:p>
        </w:tc>
        <w:tc>
          <w:tcPr>
            <w:tcW w:type="dxa" w:w="8928"/>
            <w:vAlign w:val="center"/>
          </w:tcPr>
          <w:p>
            <w:r/>
            <w:r>
              <w:rPr>
                <w:rFonts w:ascii="Mendl Sans Dusk Regular" w:hAnsi="Mendl Sans Dusk Regular" w:eastAsia="Mendl Sans Dusk Regular" w:cs="Mendl Sans Dusk Regular"/>
                <w:b w:val="0"/>
                <w:color w:val="202723"/>
                <w:sz w:val="18"/>
              </w:rPr>
              <w:t>Estimate initiated</w:t>
            </w:r>
          </w:p>
        </w:tc>
      </w:tr>
      <w:tr>
        <w:tc>
          <w:tcPr>
            <w:tcW w:type="dxa" w:w="1152"/>
            <w:vAlign w:val="center"/>
          </w:tcPr>
          <w:p>
            <w:r/>
            <w:r>
              <w:rPr>
                <w:rFonts w:ascii="Mendl Sans Dusk Regular" w:hAnsi="Mendl Sans Dusk Regular" w:eastAsia="Mendl Sans Dusk Regular" w:cs="Mendl Sans Dusk Regular"/>
                <w:b w:val="0"/>
                <w:color w:val="202723"/>
                <w:sz w:val="18"/>
              </w:rPr>
              <w:t>6</w:t>
            </w:r>
          </w:p>
        </w:tc>
        <w:tc>
          <w:tcPr>
            <w:tcW w:type="dxa" w:w="8928"/>
            <w:vAlign w:val="center"/>
          </w:tcPr>
          <w:p>
            <w:r/>
            <w:r>
              <w:rPr>
                <w:rFonts w:ascii="Mendl Sans Dusk Regular" w:hAnsi="Mendl Sans Dusk Regular" w:eastAsia="Mendl Sans Dusk Regular" w:cs="Mendl Sans Dusk Regular"/>
                <w:b w:val="0"/>
                <w:color w:val="202723"/>
                <w:sz w:val="18"/>
              </w:rPr>
              <w:t>Takeoff, pricing, and subcontractor coverage complete</w:t>
            </w:r>
          </w:p>
        </w:tc>
      </w:tr>
      <w:tr>
        <w:tc>
          <w:tcPr>
            <w:tcW w:type="dxa" w:w="1152"/>
            <w:vAlign w:val="center"/>
          </w:tcPr>
          <w:p>
            <w:r/>
            <w:r>
              <w:rPr>
                <w:rFonts w:ascii="Mendl Sans Dusk Regular" w:hAnsi="Mendl Sans Dusk Regular" w:eastAsia="Mendl Sans Dusk Regular" w:cs="Mendl Sans Dusk Regular"/>
                <w:b w:val="0"/>
                <w:color w:val="202723"/>
                <w:sz w:val="18"/>
              </w:rPr>
              <w:t>7</w:t>
            </w:r>
          </w:p>
        </w:tc>
        <w:tc>
          <w:tcPr>
            <w:tcW w:type="dxa" w:w="8928"/>
            <w:vAlign w:val="center"/>
          </w:tcPr>
          <w:p>
            <w:r/>
            <w:r>
              <w:rPr>
                <w:rFonts w:ascii="Mendl Sans Dusk Regular" w:hAnsi="Mendl Sans Dusk Regular" w:eastAsia="Mendl Sans Dusk Regular" w:cs="Mendl Sans Dusk Regular"/>
                <w:b w:val="0"/>
                <w:color w:val="202723"/>
                <w:sz w:val="18"/>
              </w:rPr>
              <w:t>Risk, constructability, schedule, and preliminary SSSP review complete</w:t>
            </w:r>
          </w:p>
        </w:tc>
      </w:tr>
      <w:tr>
        <w:tc>
          <w:tcPr>
            <w:tcW w:type="dxa" w:w="1152"/>
            <w:vAlign w:val="center"/>
          </w:tcPr>
          <w:p>
            <w:r/>
            <w:r>
              <w:rPr>
                <w:rFonts w:ascii="Mendl Sans Dusk Regular" w:hAnsi="Mendl Sans Dusk Regular" w:eastAsia="Mendl Sans Dusk Regular" w:cs="Mendl Sans Dusk Regular"/>
                <w:b w:val="0"/>
                <w:color w:val="202723"/>
                <w:sz w:val="18"/>
              </w:rPr>
              <w:t>8</w:t>
            </w:r>
          </w:p>
        </w:tc>
        <w:tc>
          <w:tcPr>
            <w:tcW w:type="dxa" w:w="8928"/>
            <w:vAlign w:val="center"/>
          </w:tcPr>
          <w:p>
            <w:r/>
            <w:r>
              <w:rPr>
                <w:rFonts w:ascii="Mendl Sans Dusk Regular" w:hAnsi="Mendl Sans Dusk Regular" w:eastAsia="Mendl Sans Dusk Regular" w:cs="Mendl Sans Dusk Regular"/>
                <w:b w:val="0"/>
                <w:color w:val="202723"/>
                <w:sz w:val="18"/>
              </w:rPr>
              <w:t>Executive review complete</w:t>
            </w:r>
          </w:p>
        </w:tc>
      </w:tr>
      <w:tr>
        <w:tc>
          <w:tcPr>
            <w:tcW w:type="dxa" w:w="1152"/>
            <w:vAlign w:val="center"/>
          </w:tcPr>
          <w:p>
            <w:r/>
            <w:r>
              <w:rPr>
                <w:rFonts w:ascii="Mendl Sans Dusk Regular" w:hAnsi="Mendl Sans Dusk Regular" w:eastAsia="Mendl Sans Dusk Regular" w:cs="Mendl Sans Dusk Regular"/>
                <w:b w:val="0"/>
                <w:color w:val="202723"/>
                <w:sz w:val="18"/>
              </w:rPr>
              <w:t>9</w:t>
            </w:r>
          </w:p>
        </w:tc>
        <w:tc>
          <w:tcPr>
            <w:tcW w:type="dxa" w:w="8928"/>
            <w:vAlign w:val="center"/>
          </w:tcPr>
          <w:p>
            <w:r/>
            <w:r>
              <w:rPr>
                <w:rFonts w:ascii="Mendl Sans Dusk Regular" w:hAnsi="Mendl Sans Dusk Regular" w:eastAsia="Mendl Sans Dusk Regular" w:cs="Mendl Sans Dusk Regular"/>
                <w:b w:val="0"/>
                <w:color w:val="202723"/>
                <w:sz w:val="18"/>
              </w:rPr>
              <w:t>Proposal submitted</w:t>
            </w:r>
          </w:p>
        </w:tc>
      </w:tr>
      <w:tr>
        <w:tc>
          <w:tcPr>
            <w:tcW w:type="dxa" w:w="1152"/>
            <w:vAlign w:val="center"/>
          </w:tcPr>
          <w:p>
            <w:r/>
            <w:r>
              <w:rPr>
                <w:rFonts w:ascii="Mendl Sans Dusk Regular" w:hAnsi="Mendl Sans Dusk Regular" w:eastAsia="Mendl Sans Dusk Regular" w:cs="Mendl Sans Dusk Regular"/>
                <w:b w:val="0"/>
                <w:color w:val="202723"/>
                <w:sz w:val="18"/>
              </w:rPr>
              <w:t>10</w:t>
            </w:r>
          </w:p>
        </w:tc>
        <w:tc>
          <w:tcPr>
            <w:tcW w:type="dxa" w:w="8928"/>
            <w:vAlign w:val="center"/>
          </w:tcPr>
          <w:p>
            <w:r/>
            <w:r>
              <w:rPr>
                <w:rFonts w:ascii="Mendl Sans Dusk Regular" w:hAnsi="Mendl Sans Dusk Regular" w:eastAsia="Mendl Sans Dusk Regular" w:cs="Mendl Sans Dusk Regular"/>
                <w:b w:val="0"/>
                <w:color w:val="202723"/>
                <w:sz w:val="18"/>
              </w:rPr>
              <w:t>Clarifications and negotiation controlled</w:t>
            </w:r>
          </w:p>
        </w:tc>
      </w:tr>
      <w:tr>
        <w:tc>
          <w:tcPr>
            <w:tcW w:type="dxa" w:w="1152"/>
            <w:vAlign w:val="center"/>
          </w:tcPr>
          <w:p>
            <w:r/>
            <w:r>
              <w:rPr>
                <w:rFonts w:ascii="Mendl Sans Dusk Regular" w:hAnsi="Mendl Sans Dusk Regular" w:eastAsia="Mendl Sans Dusk Regular" w:cs="Mendl Sans Dusk Regular"/>
                <w:b w:val="0"/>
                <w:color w:val="202723"/>
                <w:sz w:val="18"/>
              </w:rPr>
              <w:t>11</w:t>
            </w:r>
          </w:p>
        </w:tc>
        <w:tc>
          <w:tcPr>
            <w:tcW w:type="dxa" w:w="8928"/>
            <w:vAlign w:val="center"/>
          </w:tcPr>
          <w:p>
            <w:r/>
            <w:r>
              <w:rPr>
                <w:rFonts w:ascii="Mendl Sans Dusk Regular" w:hAnsi="Mendl Sans Dusk Regular" w:eastAsia="Mendl Sans Dusk Regular" w:cs="Mendl Sans Dusk Regular"/>
                <w:b w:val="0"/>
                <w:color w:val="202723"/>
                <w:sz w:val="18"/>
              </w:rPr>
              <w:t>Award or loss recorded</w:t>
            </w:r>
          </w:p>
        </w:tc>
      </w:tr>
      <w:tr>
        <w:tc>
          <w:tcPr>
            <w:tcW w:type="dxa" w:w="1152"/>
            <w:vAlign w:val="center"/>
          </w:tcPr>
          <w:p>
            <w:r/>
            <w:r>
              <w:rPr>
                <w:rFonts w:ascii="Mendl Sans Dusk Regular" w:hAnsi="Mendl Sans Dusk Regular" w:eastAsia="Mendl Sans Dusk Regular" w:cs="Mendl Sans Dusk Regular"/>
                <w:b w:val="0"/>
                <w:color w:val="202723"/>
                <w:sz w:val="18"/>
              </w:rPr>
              <w:t>12</w:t>
            </w:r>
          </w:p>
        </w:tc>
        <w:tc>
          <w:tcPr>
            <w:tcW w:type="dxa" w:w="8928"/>
            <w:vAlign w:val="center"/>
          </w:tcPr>
          <w:p>
            <w:r/>
            <w:r>
              <w:rPr>
                <w:rFonts w:ascii="Mendl Sans Dusk Regular" w:hAnsi="Mendl Sans Dusk Regular" w:eastAsia="Mendl Sans Dusk Regular" w:cs="Mendl Sans Dusk Regular"/>
                <w:b w:val="0"/>
                <w:color w:val="202723"/>
                <w:sz w:val="18"/>
              </w:rPr>
              <w:t>Estimating-to-Operations handoff accepted</w:t>
            </w:r>
          </w:p>
        </w:tc>
      </w:tr>
      <w:tr>
        <w:tc>
          <w:tcPr>
            <w:tcW w:type="dxa" w:w="1152"/>
            <w:vAlign w:val="center"/>
          </w:tcPr>
          <w:p>
            <w:r/>
            <w:r>
              <w:rPr>
                <w:rFonts w:ascii="Mendl Sans Dusk Regular" w:hAnsi="Mendl Sans Dusk Regular" w:eastAsia="Mendl Sans Dusk Regular" w:cs="Mendl Sans Dusk Regular"/>
                <w:b w:val="0"/>
                <w:color w:val="202723"/>
                <w:sz w:val="18"/>
              </w:rPr>
              <w:t>13</w:t>
            </w:r>
          </w:p>
        </w:tc>
        <w:tc>
          <w:tcPr>
            <w:tcW w:type="dxa" w:w="8928"/>
            <w:vAlign w:val="center"/>
          </w:tcPr>
          <w:p>
            <w:r/>
            <w:r>
              <w:rPr>
                <w:rFonts w:ascii="Mendl Sans Dusk Regular" w:hAnsi="Mendl Sans Dusk Regular" w:eastAsia="Mendl Sans Dusk Regular" w:cs="Mendl Sans Dusk Regular"/>
                <w:b w:val="0"/>
                <w:color w:val="202723"/>
                <w:sz w:val="18"/>
              </w:rPr>
              <w:t>Archive and lessons learned complete</w:t>
            </w:r>
          </w:p>
        </w:tc>
      </w:tr>
    </w:tbl>
    <w:p>
      <w:pPr>
        <w:pStyle w:val="Heading1"/>
      </w:pPr>
      <w:r>
        <w:t>3. Department separation</w:t>
      </w:r>
    </w:p>
    <w:p>
      <w:r>
        <w:t>Sales owns stakeholder hunting, relationship history, client intelligence, and opportunity development. Estimating owns takeoff, pricing, subcontractor coverage, scope leveling, assumptions, exclusions, alternates, and estimate integrity. Neither department may alter the other department's controlled commitments without CHNAV coordination.</w:t>
      </w:r>
    </w:p>
    <w:p>
      <w:pPr>
        <w:pStyle w:val="Heading1"/>
      </w:pPr>
      <w:r>
        <w:t>4. Submission controls</w:t>
      </w:r>
    </w:p>
    <w:p>
      <w:r>
        <w:t>BidPilot blocks submission until scope, pricing, schedule, safety, bonding, insurance, contract, and approval gates are complete. Minor administrative exceptions may be approved by CHNAV; material exposure requires COO approval and enterprise risk requires CEO approval.</w:t>
      </w:r>
    </w:p>
    <w:p>
      <w:pPr>
        <w:pStyle w:val="Heading1"/>
      </w:pPr>
      <w:r>
        <w:t>5. Handoff</w:t>
      </w:r>
    </w:p>
    <w:p>
      <w:r>
        <w:t>CHNAV owns both Sales-to-Estimating and Estimating-to-Operations handoffs and remains accountable until COO accepts the operational transfer.</w:t>
      </w:r>
    </w:p>
    <w:sectPr w:rsidR="00FC693F" w:rsidRPr="0006063C" w:rsidSect="00034616">
      <w:headerReference w:type="default" r:id="rId9"/>
      <w:headerReference w:type="first" r:id="rId10"/>
      <w:footerReference w:type="default" r:id="rId11"/>
      <w:footerReference w:type="first" r:id="rId12"/>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mh-logo-from-bibl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