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Financial Controls Guide</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PROJECT DELIVERY\nControlled file: mh-financial-controls-guide-v1-0-draft.docx\nLifecycle: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Financial and Commercial Controls Manual</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FIN-001 Version: 1.0 Owner: CFO/Finance Lead Approver: President/CEO - Acting COO Status: Draft - functional, technical and field approval required Classification: Internal - controlled System of record: Accounting and project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financial and commercial controls manual.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Budget baseline, job-cost and commitment control</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AP/AR, payment evidence, waiver control and fraud verification</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Monthly close, WIP, forecast and cash management</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Lock the approved budget before project cost is incurred.</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Separate preparation, approval, receipt and payment duties.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Complete FIN-FORM-WIP-001 monthly and assign every reconciling exception.</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Budget baseline record</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FIN-FORM-WIP-001</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Payment and waiver record</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F8EB84-D6F1-4C22-B1A6-62F6AE36A493}"/>
</file>

<file path=customXml/itemProps3.xml><?xml version="1.0" encoding="utf-8"?>
<ds:datastoreItem xmlns:ds="http://schemas.openxmlformats.org/officeDocument/2006/customXml" ds:itemID="{62C801E0-4350-4146-BADF-04B6F6B1409A}"/>
</file>

<file path=customXml/itemProps4.xml><?xml version="1.0" encoding="utf-8"?>
<ds:datastoreItem xmlns:ds="http://schemas.openxmlformats.org/officeDocument/2006/customXml" ds:itemID="{1AA760AF-A0D9-43FF-BE75-105BC23CB9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Commercial Controls Manual</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