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widowControl/>
              <w:spacing w:after="840"/>
              <w:jc w:val="cente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148840" cy="12245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48840" cy="1224580"/>
                          </a:xfrm>
                          <a:prstGeom prst="rect"/>
                        </pic:spPr>
                      </pic:pic>
                    </a:graphicData>
                  </a:graphic>
                </wp:inline>
              </w:drawing>
            </w:r>
          </w:p>
          <w:p>
            <w:pPr>
              <w:widowControl/>
              <w:spacing w:after="320"/>
              <w:jc w:val="left"/>
            </w:pPr>
            <w:r>
              <w:rPr>
                <w:rFonts w:ascii="Mendl Sans Dusk Regular" w:hAnsi="Mendl Sans Dusk Regular" w:eastAsia="Mendl Sans Dusk Regular" w:cs="Mendl Sans Dusk Regular"/>
                <w:b/>
                <w:color w:val="BD9264"/>
                <w:sz w:val="18"/>
              </w:rPr>
              <w:t>CONTROLLED ENTERPRISE DOCUMENT</w:t>
            </w:r>
          </w:p>
          <w:p>
            <w:pPr>
              <w:widowControl/>
              <w:spacing w:after="220"/>
              <w:jc w:val="left"/>
            </w:pPr>
            <w:r>
              <w:rPr>
                <w:rFonts w:ascii="Mendl Sans Dusk Regular" w:hAnsi="Mendl Sans Dusk Regular" w:eastAsia="Mendl Sans Dusk Regular" w:cs="Mendl Sans Dusk Regular"/>
                <w:b/>
                <w:color w:val="FFFFFF"/>
                <w:sz w:val="50"/>
              </w:rPr>
              <w:t>Equipment Operators Manual</w:t>
            </w:r>
          </w:p>
          <w:p>
            <w:pPr>
              <w:widowControl/>
              <w:spacing w:after="320"/>
              <w:jc w:val="left"/>
            </w:pPr>
            <w:r>
              <w:rPr>
                <w:rFonts w:ascii="Mendl Sans Dusk Regular" w:hAnsi="Mendl Sans Dusk Regular" w:eastAsia="Mendl Sans Dusk Regular" w:cs="Mendl Sans Dusk Regular"/>
                <w:b/>
                <w:color w:val="628F79"/>
                <w:sz w:val="26"/>
              </w:rPr>
              <w:t>MH Construction Enterprise Management System</w:t>
            </w:r>
          </w:p>
          <w:p>
            <w:pPr>
              <w:widowControl/>
              <w:spacing w:after="240"/>
              <w:jc w:val="left"/>
            </w:pPr>
            <w:r>
              <w:rPr>
                <w:rFonts w:ascii="Mendl Sans Dusk Regular" w:hAnsi="Mendl Sans Dusk Regular" w:eastAsia="Mendl Sans Dusk Regular" w:cs="Mendl Sans Dusk Regular"/>
                <w:color w:val="FFFFFF"/>
                <w:sz w:val="18"/>
              </w:rPr>
              <w:t>Document family: SAFETY AND FIELD OPERATIONS\nControlled file: mh-equipment-operators-manual-v1-0-draft.docx\nLifecycle: Draft</w:t>
            </w:r>
          </w:p>
          <w:p>
            <w:pPr>
              <w:spacing w:before="120"/>
              <w:widowControl/>
              <w:pBdr>
                <w:bottom w:val="single" w:sz="6" w:space="7" w:color="BD9264"/>
              </w:pBdr>
            </w:pPr>
            <w:r>
              <w:rPr>
                <w:rFonts w:ascii="Mendl Sans Dusk Regular" w:hAnsi="Mendl Sans Dusk Regular" w:eastAsia="Mendl Sans Dusk Regular" w:cs="Mendl Sans Dusk Regular"/>
                <w:b/>
                <w:color w:val="FFFFFF"/>
                <w:sz w:val="18"/>
              </w:rPr>
              <w:t>Use only after required functional, technical, field-usability, and approval gates are complete.</w:t>
            </w:r>
          </w:p>
        </w:tc>
      </w:tr>
    </w:tbl>
    <w:p>
      <w:pPr>
        <w:widowControl/>
      </w:pPr>
      <w:r>
        <w:rPr>
          <w:rFonts w:ascii="Mendl Sans Dusk Regular" w:hAnsi="Mendl Sans Dusk Regular" w:eastAsia="Mendl Sans Dusk Regular" w:cs="Mendl Sans Dusk Regular"/>
        </w:rPr>
        <w:br w:type="page"/>
      </w:r>
    </w:p>
    <w:p>
      <w:pPr/>
      <w:r>
        <w:t>Control: Version 1.0 | Status Draft | Author and Chief Editor: Matt Ramsey | Co-Editor: Todd Shoeff | Final Approver: Jeremy Thamert</w:t>
      </w:r>
    </w:p>
    <w:p>
      <w:pPr>
        <w:widowControl/>
        <w:spacing w:before="560" w:after="360"/>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pStyle w:val="Title"/>
        <w:widowControl/>
        <w:spacing w:before="160"/>
      </w:pPr>
      <w:r>
        <w:rPr>
          <w:rFonts w:ascii="Mendl Sans Dusk Bold" w:hAnsi="Mendl Sans Dusk Bold" w:eastAsia="Mendl Sans Dusk Bold" w:cs="Mendl Sans Dusk Bold"/>
          <w:b/>
          <w:color w:val="386851"/>
          <w:sz w:val="54"/>
        </w:rPr>
        <w:t>MH Construction Equipment and Fleet Management Manual</w:t>
      </w:r>
    </w:p>
    <w:p>
      <w:pPr>
        <w:pStyle w:val="Heading2"/>
        <w:widowControl/>
      </w:pPr>
      <w:r>
        <w:rPr>
          <w:rFonts w:ascii="Mendl Sans Dusk Medium" w:hAnsi="Mendl Sans Dusk Medium" w:eastAsia="Mendl Sans Dusk Medium" w:cs="Mendl Sans Dusk Medium"/>
          <w:b/>
          <w:color w:val="628F79"/>
          <w:sz w:val="26"/>
        </w:rPr>
        <w:t>Controlled functional standard and operating evidence</w:t>
      </w:r>
    </w:p>
    <w:p>
      <w:pPr>
        <w:widowControl/>
      </w:pPr>
      <w:r>
        <w:rPr>
          <w:rFonts w:ascii="Mendl Sans Dusk Regular" w:hAnsi="Mendl Sans Dusk Regular" w:eastAsia="Mendl Sans Dusk Regular" w:cs="Mendl Sans Dusk Regular"/>
          <w:b/>
          <w:color w:val="202723"/>
          <w:sz w:val="21"/>
        </w:rPr>
        <w:t>Document ID: EOM-001 Version: 1.0 Owner: Fleet Lead Approver: President/CEO - Acting COO Status: Draft - functional, technical and field approval required Classification: Internal - controlled System of record: Fleet maintenance repository Review cycle: Annual and upon material change</w:t>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widowControl/>
              <w:spacing w:after="0"/>
            </w:pPr>
            <w:r>
              <w:rPr>
                <w:rFonts w:ascii="Mendl Sans Dusk Regular" w:hAnsi="Mendl Sans Dusk Regular" w:eastAsia="Mendl Sans Dusk Regular" w:cs="Mendl Sans Dusk Regular"/>
                <w:b w:val="0"/>
                <w:color w:val="1E392C"/>
                <w:sz w:val="21"/>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widowControl/>
        <w:spacing w:after="20"/>
      </w:pP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1. Purpose and authority</w:t>
      </w:r>
    </w:p>
    <w:p>
      <w:pPr>
        <w:widowControl/>
      </w:pPr>
      <w:r>
        <w:rPr>
          <w:rFonts w:ascii="Mendl Sans Dusk Regular" w:hAnsi="Mendl Sans Dusk Regular" w:eastAsia="Mendl Sans Dusk Regular" w:cs="Mendl Sans Dusk Regular"/>
          <w:b w:val="0"/>
          <w:color w:val="202723"/>
          <w:sz w:val="21"/>
        </w:rPr>
        <w:t>This manual establishes the accountable process, required evidence and release conditions for equipment and fleet management manual. It does not authorize a departure from a contract, law, technical instruction or safety requirement. The owner assigns trained delegates but retains accountability for process performance and evidence quality.</w:t>
      </w:r>
    </w:p>
    <w:p>
      <w:pPr>
        <w:pStyle w:val="Heading2"/>
        <w:widowControl/>
      </w:pPr>
      <w:r>
        <w:rPr>
          <w:rFonts w:ascii="Mendl Sans Dusk Medium" w:hAnsi="Mendl Sans Dusk Medium" w:eastAsia="Mendl Sans Dusk Medium" w:cs="Mendl Sans Dusk Medium"/>
          <w:b/>
          <w:color w:val="628F79"/>
          <w:sz w:val="26"/>
        </w:rPr>
        <w:t>2. Required controls</w:t>
      </w:r>
    </w:p>
    <w:tbl>
      <w:tblPr>
        <w:tblStyle w:val="TableGrid"/>
        <w:tblW w:type="auto" w:w="0"/>
        <w:jc w:val="left"/>
        <w:tblLayout w:type="fixed"/>
        <w:tblLook w:firstColumn="1" w:firstRow="1" w:lastColumn="0" w:lastRow="0" w:noHBand="0" w:noVBand="1" w:val="04A0"/>
      </w:tblPr>
      <w:tblGrid>
        <w:gridCol w:w="4939"/>
        <w:gridCol w:w="4939"/>
      </w:tblGrid>
      <w:tr>
        <w:tc>
          <w:tcPr>
            <w:tcW w:type="dxa" w:w="107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No.</w:t>
            </w:r>
          </w:p>
        </w:tc>
        <w:tc>
          <w:tcPr>
            <w:tcW w:type="dxa" w:w="828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Required control</w:t>
            </w:r>
          </w:p>
        </w:tc>
      </w:tr>
      <w:tr>
        <w:tc>
          <w:tcPr>
            <w:tcW w:type="dxa" w:w="10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w:t>
            </w:r>
          </w:p>
        </w:tc>
        <w:tc>
          <w:tcPr>
            <w:tcW w:type="dxa" w:w="82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Equipment authorization, inspection and defect removal</w:t>
            </w:r>
          </w:p>
        </w:tc>
      </w:tr>
      <w:tr>
        <w:tc>
          <w:tcPr>
            <w:tcW w:type="dxa" w:w="10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w:t>
            </w:r>
          </w:p>
        </w:tc>
        <w:tc>
          <w:tcPr>
            <w:tcW w:type="dxa" w:w="82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Preventive maintenance, repair and fleet availability</w:t>
            </w:r>
          </w:p>
        </w:tc>
      </w:tr>
      <w:tr>
        <w:tc>
          <w:tcPr>
            <w:tcW w:type="dxa" w:w="10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3</w:t>
            </w:r>
          </w:p>
        </w:tc>
        <w:tc>
          <w:tcPr>
            <w:tcW w:type="dxa" w:w="82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Vehicle, trailer and equipment assignment control</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3. Operating workflow</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Verify operator qualification before dispatch.</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Remove unsafe equipment from service and document repair authorization.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Track inspections, maintenance, defects, return-to-service and asset location.</w:t>
      </w:r>
    </w:p>
    <w:p>
      <w:pPr>
        <w:pStyle w:val="Heading2"/>
        <w:widowControl/>
      </w:pPr>
      <w:r>
        <w:rPr>
          <w:rFonts w:ascii="Mendl Sans Dusk Medium" w:hAnsi="Mendl Sans Dusk Medium" w:eastAsia="Mendl Sans Dusk Medium" w:cs="Mendl Sans Dusk Medium"/>
          <w:b/>
          <w:color w:val="628F79"/>
          <w:sz w:val="26"/>
        </w:rPr>
        <w:t>4. Evidence and records</w:t>
      </w:r>
    </w:p>
    <w:p>
      <w:pPr>
        <w:widowControl/>
      </w:pPr>
      <w:r>
        <w:rPr>
          <w:rFonts w:ascii="Mendl Sans Dusk Regular" w:hAnsi="Mendl Sans Dusk Regular" w:eastAsia="Mendl Sans Dusk Regular" w:cs="Mendl Sans Dusk Regular"/>
          <w:b w:val="0"/>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Operator certification log</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Daily equipment inspection</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Equipment maintenance request</w:t>
      </w:r>
    </w:p>
    <w:p>
      <w:pPr>
        <w:pStyle w:val="Heading2"/>
        <w:widowControl/>
      </w:pPr>
      <w:r>
        <w:rPr>
          <w:rFonts w:ascii="Mendl Sans Dusk Medium" w:hAnsi="Mendl Sans Dusk Medium" w:eastAsia="Mendl Sans Dusk Medium" w:cs="Mendl Sans Dusk Medium"/>
          <w:b/>
          <w:color w:val="628F79"/>
          <w:sz w:val="26"/>
        </w:rPr>
        <w:t>5. Exceptions, escalation and assurance</w:t>
      </w:r>
    </w:p>
    <w:p>
      <w:pPr>
        <w:widowControl/>
      </w:pPr>
      <w:r>
        <w:rPr>
          <w:rFonts w:ascii="Mendl Sans Dusk Regular" w:hAnsi="Mendl Sans Dusk Regular" w:eastAsia="Mendl Sans Dusk Regular" w:cs="Mendl Sans Dusk Regular"/>
          <w:b w:val="0"/>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p>
      <w:pPr>
        <w:widowControl/>
      </w:pPr>
      <w:r>
        <w:rPr>
          <w:rFonts w:ascii="Mendl Sans Dusk Regular" w:hAnsi="Mendl Sans Dusk Regular" w:eastAsia="Mendl Sans Dusk Regular" w:cs="Mendl Sans Dusk Regular"/>
        </w:rPr>
        <w:br w:type="page"/>
      </w:r>
    </w:p>
    <w:p>
      <w:pPr>
        <w:pStyle w:val="Heading1"/>
        <w:widowControl/>
      </w:pPr>
      <w:r>
        <w:rPr>
          <w:rFonts w:ascii="Mendl Sans Dusk Bold" w:hAnsi="Mendl Sans Dusk Bold" w:eastAsia="Mendl Sans Dusk Bold" w:cs="Mendl Sans Dusk Bold"/>
          <w:b/>
          <w:color w:val="386851"/>
          <w:sz w:val="32"/>
        </w:rPr>
        <w:t>FLEET CONTROL INTEGRATION | REVISION 2.1</w:t>
      </w:r>
    </w:p>
    <w:p>
      <w:pPr>
        <w:widowControl/>
      </w:pPr>
      <w:r>
        <w:rPr>
          <w:rFonts w:ascii="Mendl Sans Dusk Regular" w:hAnsi="Mendl Sans Dusk Regular" w:eastAsia="Mendl Sans Dusk Regular" w:cs="Mendl Sans Dusk Regular"/>
          <w:b/>
        </w:rPr>
        <w:t>Operator and mechanic execution controls</w:t>
      </w:r>
    </w:p>
    <w:p>
      <w:pPr>
        <w:widowControl/>
      </w:pPr>
      <w:r>
        <w:rPr>
          <w:rFonts w:ascii="Mendl Sans Dusk Regular" w:hAnsi="Mendl Sans Dusk Regular" w:eastAsia="Mendl Sans Dusk Regular" w:cs="Mendl Sans Dusk Regular"/>
        </w:rPr>
        <w:t>Effective August 2026. This integration controls where it conflicts with earlier fleet, equipment, warehouse, or maintenance language in this document.</w:t>
      </w:r>
    </w:p>
    <w:p>
      <w:pPr>
        <w:pStyle w:val="Heading2"/>
        <w:widowControl/>
      </w:pPr>
      <w:r>
        <w:rPr>
          <w:rFonts w:ascii="Mendl Sans Dusk Medium" w:hAnsi="Mendl Sans Dusk Medium" w:eastAsia="Mendl Sans Dusk Medium" w:cs="Mendl Sans Dusk Medium"/>
          <w:b/>
          <w:color w:val="628F79"/>
          <w:sz w:val="26"/>
        </w:rPr>
        <w:t>EOM-09.0 Fleet Commander interface</w:t>
      </w:r>
    </w:p>
    <w:p>
      <w:pPr>
        <w:widowControl/>
      </w:pPr>
      <w:r>
        <w:rPr>
          <w:rFonts w:ascii="Mendl Sans Dusk Regular" w:hAnsi="Mendl Sans Dusk Regular" w:eastAsia="Mendl Sans Dusk Regular" w:cs="Mendl Sans Dusk Regular"/>
        </w:rPr>
        <w:t>CEO &gt; COO &gt; Chief Superintendent &gt; Fleet Commander &gt; Mechanics and Operators. If a position is vacant or unavailable, authority moves to the next available position above it in this chain.</w:t>
      </w:r>
    </w:p>
    <w:p>
      <w:pPr>
        <w:widowControl/>
      </w:pPr>
      <w:r>
        <w:rPr>
          <w:rFonts w:ascii="Mendl Sans Dusk Regular" w:hAnsi="Mendl Sans Dusk Regular" w:eastAsia="Mendl Sans Dusk Regular" w:cs="Mendl Sans Dusk Regular"/>
        </w:rPr>
        <w:t>Operators remain accountable to the onsite Foreman for daily production and to the Fleet Commander for equipment condition, readings, custody, and maintenance reporting.</w:t>
      </w:r>
    </w:p>
    <w:p>
      <w:pPr>
        <w:pStyle w:val="Heading2"/>
        <w:widowControl/>
      </w:pPr>
      <w:r>
        <w:rPr>
          <w:rFonts w:ascii="Mendl Sans Dusk Medium" w:hAnsi="Mendl Sans Dusk Medium" w:eastAsia="Mendl Sans Dusk Medium" w:cs="Mendl Sans Dusk Medium"/>
          <w:b/>
          <w:color w:val="628F79"/>
          <w:sz w:val="26"/>
        </w:rPr>
        <w:t>EOM-10.0 Inspection and defect decision</w:t>
      </w:r>
    </w:p>
    <w:p>
      <w:pPr>
        <w:widowControl/>
      </w:pPr>
      <w:r>
        <w:rPr>
          <w:rFonts w:ascii="Mendl Sans Dusk Regular" w:hAnsi="Mendl Sans Dusk Regular" w:eastAsia="Mendl Sans Dusk Regular" w:cs="Mendl Sans Dusk Regular"/>
        </w:rPr>
        <w:t>Before use, the operator scans the asset QR code or enters the permanent asset ID, records employee ID, project/location, date, time, mileage or hours, and inspection results in the Field Command Center.</w:t>
      </w:r>
    </w:p>
    <w:p>
      <w:pPr>
        <w:pStyle w:val="ListBullet"/>
        <w:widowControl/>
      </w:pPr>
      <w:r>
        <w:rPr>
          <w:rFonts w:ascii="Mendl Sans Dusk Regular" w:hAnsi="Mendl Sans Dusk Regular" w:eastAsia="Mendl Sans Dusk Regular" w:cs="Mendl Sans Dusk Regular"/>
        </w:rPr>
        <w:t>Safety-critical defect: stop, isolate, tag out, notify the Foreman and Fleet Commander immediately.</w:t>
      </w:r>
    </w:p>
    <w:p>
      <w:pPr>
        <w:pStyle w:val="ListBullet"/>
        <w:widowControl/>
      </w:pPr>
      <w:r>
        <w:rPr>
          <w:rFonts w:ascii="Mendl Sans Dusk Regular" w:hAnsi="Mendl Sans Dusk Regular" w:eastAsia="Mendl Sans Dusk Regular" w:cs="Mendl Sans Dusk Regular"/>
        </w:rPr>
        <w:t>Non-safety defect: record it before operation and follow the Fleet Commander's written restriction or service direction.</w:t>
      </w:r>
    </w:p>
    <w:p>
      <w:pPr>
        <w:pStyle w:val="ListBullet"/>
        <w:widowControl/>
      </w:pPr>
      <w:r>
        <w:rPr>
          <w:rFonts w:ascii="Mendl Sans Dusk Regular" w:hAnsi="Mendl Sans Dusk Regular" w:eastAsia="Mendl Sans Dusk Regular" w:cs="Mendl Sans Dusk Regular"/>
        </w:rPr>
        <w:t>The operator may not clear a maintenance hold or return an asset to service.</w:t>
      </w:r>
    </w:p>
    <w:p>
      <w:pPr>
        <w:pStyle w:val="Heading2"/>
        <w:widowControl/>
      </w:pPr>
      <w:r>
        <w:rPr>
          <w:rFonts w:ascii="Mendl Sans Dusk Medium" w:hAnsi="Mendl Sans Dusk Medium" w:eastAsia="Mendl Sans Dusk Medium" w:cs="Mendl Sans Dusk Medium"/>
          <w:b/>
          <w:color w:val="628F79"/>
          <w:sz w:val="26"/>
        </w:rPr>
        <w:t>EOM-11.0 Outsourced service</w:t>
      </w:r>
    </w:p>
    <w:p>
      <w:pPr>
        <w:widowControl/>
      </w:pPr>
      <w:r>
        <w:rPr>
          <w:rFonts w:ascii="Mendl Sans Dusk Regular" w:hAnsi="Mendl Sans Dusk Regular" w:eastAsia="Mendl Sans Dusk Regular" w:cs="Mendl Sans Dusk Regular"/>
        </w:rPr>
        <w:t>Mechanics may be internal or approved external providers. The Fleet Commander issues the work order, provides asset and defect information, collects the provider report and invoice, verifies completed scope, and establishes the next-service trigger.</w:t>
      </w:r>
    </w:p>
    <w:p>
      <w:pPr>
        <w:pStyle w:val="ListBullet"/>
        <w:widowControl/>
      </w:pPr>
      <w:r>
        <w:rPr>
          <w:rFonts w:ascii="Mendl Sans Dusk Regular" w:hAnsi="Mendl Sans Dusk Regular" w:eastAsia="Mendl Sans Dusk Regular" w:cs="Mendl Sans Dusk Regular"/>
        </w:rPr>
        <w:t>Torque Mobile shop service is planned around every-other-Thursday Superintendent meetings.</w:t>
      </w:r>
    </w:p>
    <w:p>
      <w:pPr>
        <w:pStyle w:val="ListBullet"/>
        <w:widowControl/>
      </w:pPr>
      <w:r>
        <w:rPr>
          <w:rFonts w:ascii="Mendl Sans Dusk Regular" w:hAnsi="Mendl Sans Dusk Regular" w:eastAsia="Mendl Sans Dusk Regular" w:cs="Mendl Sans Dusk Regular"/>
        </w:rPr>
        <w:t>Valvoline service must be tied to the applicable asset and work order.</w:t>
      </w: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39D848FE-F314-43D0-B653-C49561382527}"/>
</file>

<file path=customXml/itemProps3.xml><?xml version="1.0" encoding="utf-8"?>
<ds:datastoreItem xmlns:ds="http://schemas.openxmlformats.org/officeDocument/2006/customXml" ds:itemID="{963E7874-2CAC-4105-9050-831B4C70A195}"/>
</file>

<file path=customXml/itemProps4.xml><?xml version="1.0" encoding="utf-8"?>
<ds:datastoreItem xmlns:ds="http://schemas.openxmlformats.org/officeDocument/2006/customXml" ds:itemID="{3A74BD7D-A660-4DE9-A280-D792278E462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Fleet Management Manual</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