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878"/>
      </w:tblGrid>
      <w:tr>
        <w:trPr>
          <w:trHeight w:val="12200" w:hRule="atLeast"/>
        </w:trPr>
        <w:tc>
          <w:tcPr>
            <w:tcW w:type="dxa" w:w="9878"/>
            <w:shd w:fill="0F1412"/>
            <w:vAlign w:val="center"/>
          </w:tcPr>
          <w:p>
            <w:pPr>
              <w:widowControl/>
              <w:spacing w:after="840"/>
              <w:jc w:val="center"/>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2148840" cy="122458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48840" cy="1224580"/>
                          </a:xfrm>
                          <a:prstGeom prst="rect"/>
                        </pic:spPr>
                      </pic:pic>
                    </a:graphicData>
                  </a:graphic>
                </wp:inline>
              </w:drawing>
            </w:r>
          </w:p>
          <w:p>
            <w:pPr>
              <w:widowControl/>
              <w:spacing w:after="320"/>
              <w:jc w:val="left"/>
            </w:pPr>
            <w:r>
              <w:rPr>
                <w:rFonts w:ascii="Mendl Sans Dusk Regular" w:hAnsi="Mendl Sans Dusk Regular" w:eastAsia="Mendl Sans Dusk Regular" w:cs="Mendl Sans Dusk Regular"/>
                <w:b/>
                <w:color w:val="BD9264"/>
                <w:sz w:val="18"/>
              </w:rPr>
              <w:t>CONTROLLED ENTERPRISE DOCUMENT</w:t>
            </w:r>
          </w:p>
          <w:p>
            <w:pPr>
              <w:widowControl/>
              <w:spacing w:after="220"/>
              <w:jc w:val="left"/>
            </w:pPr>
            <w:r>
              <w:rPr>
                <w:rFonts w:ascii="Mendl Sans Dusk Regular" w:hAnsi="Mendl Sans Dusk Regular" w:eastAsia="Mendl Sans Dusk Regular" w:cs="Mendl Sans Dusk Regular"/>
                <w:b/>
                <w:color w:val="FFFFFF"/>
                <w:sz w:val="50"/>
              </w:rPr>
              <w:t>Warehouse Management Guide</w:t>
            </w:r>
          </w:p>
          <w:p>
            <w:pPr>
              <w:widowControl/>
              <w:spacing w:after="320"/>
              <w:jc w:val="left"/>
            </w:pPr>
            <w:r>
              <w:rPr>
                <w:rFonts w:ascii="Mendl Sans Dusk Regular" w:hAnsi="Mendl Sans Dusk Regular" w:eastAsia="Mendl Sans Dusk Regular" w:cs="Mendl Sans Dusk Regular"/>
                <w:b/>
                <w:color w:val="628F79"/>
                <w:sz w:val="26"/>
              </w:rPr>
              <w:t>MH Construction Enterprise Management System</w:t>
            </w:r>
          </w:p>
          <w:p>
            <w:pPr>
              <w:widowControl/>
              <w:spacing w:after="240"/>
              <w:jc w:val="left"/>
            </w:pPr>
            <w:r>
              <w:rPr>
                <w:rFonts w:ascii="Mendl Sans Dusk Regular" w:hAnsi="Mendl Sans Dusk Regular" w:eastAsia="Mendl Sans Dusk Regular" w:cs="Mendl Sans Dusk Regular"/>
                <w:color w:val="FFFFFF"/>
                <w:sz w:val="18"/>
              </w:rPr>
              <w:t>Document family: SAFETY AND FIELD OPERATIONS\nControlled file: mh-warehouse-management-guide-v1-0-draft.docx\nLifecycle: Draft</w:t>
            </w:r>
          </w:p>
          <w:p>
            <w:pPr>
              <w:spacing w:before="120"/>
              <w:widowControl/>
              <w:pBdr>
                <w:bottom w:val="single" w:sz="6" w:space="7" w:color="BD9264"/>
              </w:pBdr>
            </w:pPr>
            <w:r>
              <w:rPr>
                <w:rFonts w:ascii="Mendl Sans Dusk Regular" w:hAnsi="Mendl Sans Dusk Regular" w:eastAsia="Mendl Sans Dusk Regular" w:cs="Mendl Sans Dusk Regular"/>
                <w:b/>
                <w:color w:val="FFFFFF"/>
                <w:sz w:val="18"/>
              </w:rPr>
              <w:t>Use only after required functional, technical, field-usability, and approval gates are complete.</w:t>
            </w:r>
          </w:p>
        </w:tc>
      </w:tr>
    </w:tbl>
    <w:p>
      <w:pPr>
        <w:widowControl/>
      </w:pPr>
      <w:r>
        <w:rPr>
          <w:rFonts w:ascii="Mendl Sans Dusk Regular" w:hAnsi="Mendl Sans Dusk Regular" w:eastAsia="Mendl Sans Dusk Regular" w:cs="Mendl Sans Dusk Regular"/>
        </w:rPr>
        <w:br w:type="page"/>
      </w:r>
    </w:p>
    <w:p>
      <w:pPr/>
      <w:r>
        <w:t>Control: Version 1.0 | Status Draft | Author and Chief Editor: Matt Ramsey | Co-Editor: Todd Shoeff | Final Approver: Jeremy Thamert</w:t>
      </w:r>
    </w:p>
    <w:p>
      <w:pPr>
        <w:widowControl/>
        <w:spacing w:before="560" w:after="360"/>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2331720" cy="1328799"/>
            <wp:docPr id="1" name="Picture 1"/>
            <wp:cNvGraphicFramePr>
              <a:graphicFrameLocks noChangeAspect="1"/>
            </wp:cNvGraphicFramePr>
            <a:graphic>
              <a:graphicData uri="http://schemas.openxmlformats.org/drawingml/2006/picture">
                <pic:pic>
                  <pic:nvPicPr>
                    <pic:cNvPr id="0" name="mh-logo.png"/>
                    <pic:cNvPicPr/>
                  </pic:nvPicPr>
                  <pic:blipFill>
                    <a:blip r:embed="rId11"/>
                    <a:stretch>
                      <a:fillRect/>
                    </a:stretch>
                  </pic:blipFill>
                  <pic:spPr>
                    <a:xfrm>
                      <a:off x="0" y="0"/>
                      <a:ext cx="2331720" cy="1328799"/>
                    </a:xfrm>
                    <a:prstGeom prst="rect"/>
                  </pic:spPr>
                </pic:pic>
              </a:graphicData>
            </a:graphic>
          </wp:inline>
        </w:drawing>
      </w:r>
    </w:p>
    <w:p>
      <w:pPr>
        <w:pStyle w:val="Title"/>
        <w:widowControl/>
        <w:spacing w:before="160"/>
      </w:pPr>
      <w:r>
        <w:rPr>
          <w:rFonts w:ascii="Mendl Sans Dusk Bold" w:hAnsi="Mendl Sans Dusk Bold" w:eastAsia="Mendl Sans Dusk Bold" w:cs="Mendl Sans Dusk Bold"/>
          <w:b/>
          <w:color w:val="386851"/>
          <w:sz w:val="54"/>
        </w:rPr>
        <w:t>MH Construction Warehouse Management Guide</w:t>
      </w:r>
    </w:p>
    <w:p>
      <w:pPr>
        <w:pStyle w:val="Heading2"/>
        <w:widowControl/>
      </w:pPr>
      <w:r>
        <w:rPr>
          <w:rFonts w:ascii="Mendl Sans Dusk Medium" w:hAnsi="Mendl Sans Dusk Medium" w:eastAsia="Mendl Sans Dusk Medium" w:cs="Mendl Sans Dusk Medium"/>
          <w:b/>
          <w:color w:val="628F79"/>
          <w:sz w:val="26"/>
        </w:rPr>
        <w:t>Controlled functional standard and operating evidence</w:t>
      </w:r>
    </w:p>
    <w:p>
      <w:pPr>
        <w:widowControl/>
      </w:pPr>
      <w:r>
        <w:rPr>
          <w:rFonts w:ascii="Mendl Sans Dusk Regular" w:hAnsi="Mendl Sans Dusk Regular" w:eastAsia="Mendl Sans Dusk Regular" w:cs="Mendl Sans Dusk Regular"/>
          <w:b/>
          <w:color w:val="202723"/>
          <w:sz w:val="21"/>
        </w:rPr>
        <w:t>Document ID: WMG-001 Version: 1.0 Owner: Warehouse Lead Approver: President/CEO - Acting COO Status: Draft - functional, technical and field approval required Classification: Internal - controlled System of record: Warehouse and project repository Review cycle: Annual and upon material change</w:t>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p>
    <w:tbl>
      <w:tblPr>
        <w:tblW w:type="auto" w:w="0"/>
        <w:jc w:val="left"/>
        <w:tblLayout w:type="fixed"/>
        <w:tblLook w:firstColumn="1" w:firstRow="1" w:lastColumn="0" w:lastRow="0" w:noHBand="0" w:noVBand="1" w:val="04A0"/>
      </w:tblPr>
      <w:tblGrid>
        <w:gridCol w:w="9360"/>
      </w:tblGrid>
      <w:tr>
        <w:tc>
          <w:tcPr>
            <w:tcW w:type="dxa" w:w="9360"/>
            <w:shd w:fill="F7F1E8"/>
            <w:tcMar>
              <w:top w:w="140" w:type="dxa"/>
              <w:start w:w="180" w:type="dxa"/>
              <w:bottom w:w="140" w:type="dxa"/>
              <w:end w:w="180" w:type="dxa"/>
            </w:tcMar>
          </w:tcPr>
          <w:p>
            <w:pPr>
              <w:widowControl/>
              <w:spacing w:after="0"/>
            </w:pPr>
            <w:r>
              <w:rPr>
                <w:rFonts w:ascii="Mendl Sans Dusk Regular" w:hAnsi="Mendl Sans Dusk Regular" w:eastAsia="Mendl Sans Dusk Regular" w:cs="Mendl Sans Dusk Regular"/>
                <w:b w:val="0"/>
                <w:color w:val="1E392C"/>
                <w:sz w:val="21"/>
              </w:rPr>
              <w:t>This standard follows the original MH Ecosystem document-family architecture. It operates with the Enterprise Management System, the approved project requirements, applicable law, engineered design, manufacturer instructions and executed contracts. When requirements conflict, stop the affected work or decision and escalate it.</w:t>
            </w:r>
          </w:p>
        </w:tc>
      </w:tr>
    </w:tbl>
    <w:p>
      <w:pPr>
        <w:widowControl/>
        <w:spacing w:after="20"/>
      </w:pPr>
    </w:p>
    <w:p>
      <w:pPr>
        <w:widowControl/>
      </w:pPr>
      <w:r>
        <w:rPr>
          <w:rFonts w:ascii="Mendl Sans Dusk Regular" w:hAnsi="Mendl Sans Dusk Regular" w:eastAsia="Mendl Sans Dusk Regular" w:cs="Mendl Sans Dusk Regular"/>
        </w:rPr>
        <w:br w:type="page"/>
      </w:r>
    </w:p>
    <w:p>
      <w:pPr>
        <w:pStyle w:val="Heading2"/>
        <w:widowControl/>
      </w:pPr>
      <w:r>
        <w:rPr>
          <w:rFonts w:ascii="Mendl Sans Dusk Medium" w:hAnsi="Mendl Sans Dusk Medium" w:eastAsia="Mendl Sans Dusk Medium" w:cs="Mendl Sans Dusk Medium"/>
          <w:b/>
          <w:color w:val="628F79"/>
          <w:sz w:val="26"/>
        </w:rPr>
        <w:t>1. Purpose and authority</w:t>
      </w:r>
    </w:p>
    <w:p>
      <w:pPr>
        <w:widowControl/>
      </w:pPr>
      <w:r>
        <w:rPr>
          <w:rFonts w:ascii="Mendl Sans Dusk Regular" w:hAnsi="Mendl Sans Dusk Regular" w:eastAsia="Mendl Sans Dusk Regular" w:cs="Mendl Sans Dusk Regular"/>
          <w:b w:val="0"/>
          <w:color w:val="202723"/>
          <w:sz w:val="21"/>
        </w:rPr>
        <w:t>This manual establishes the accountable process, required evidence and release conditions for warehouse management guide. It does not authorize a departure from a contract, law, technical instruction or safety requirement. The owner assigns trained delegates but retains accountability for process performance and evidence quality.</w:t>
      </w:r>
    </w:p>
    <w:p>
      <w:pPr>
        <w:pStyle w:val="Heading2"/>
        <w:widowControl/>
      </w:pPr>
      <w:r>
        <w:rPr>
          <w:rFonts w:ascii="Mendl Sans Dusk Medium" w:hAnsi="Mendl Sans Dusk Medium" w:eastAsia="Mendl Sans Dusk Medium" w:cs="Mendl Sans Dusk Medium"/>
          <w:b/>
          <w:color w:val="628F79"/>
          <w:sz w:val="26"/>
        </w:rPr>
        <w:t>2. Required controls</w:t>
      </w:r>
    </w:p>
    <w:tbl>
      <w:tblPr>
        <w:tblStyle w:val="TableGrid"/>
        <w:tblW w:type="auto" w:w="0"/>
        <w:jc w:val="left"/>
        <w:tblLayout w:type="fixed"/>
        <w:tblLook w:firstColumn="1" w:firstRow="1" w:lastColumn="0" w:lastRow="0" w:noHBand="0" w:noVBand="1" w:val="04A0"/>
      </w:tblPr>
      <w:tblGrid>
        <w:gridCol w:w="4939"/>
        <w:gridCol w:w="4939"/>
      </w:tblGrid>
      <w:tr>
        <w:tc>
          <w:tcPr>
            <w:tcW w:type="dxa" w:w="1057"/>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No.</w:t>
            </w:r>
          </w:p>
        </w:tc>
        <w:tc>
          <w:tcPr>
            <w:tcW w:type="dxa" w:w="8303"/>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Required control</w:t>
            </w:r>
          </w:p>
        </w:tc>
      </w:tr>
      <w:tr>
        <w:tc>
          <w:tcPr>
            <w:tcW w:type="dxa" w:w="105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1</w:t>
            </w:r>
          </w:p>
        </w:tc>
        <w:tc>
          <w:tcPr>
            <w:tcW w:type="dxa" w:w="830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Receiving, damage, shortage and supplier discrepancy control</w:t>
            </w:r>
          </w:p>
        </w:tc>
      </w:tr>
      <w:tr>
        <w:tc>
          <w:tcPr>
            <w:tcW w:type="dxa" w:w="1057"/>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2</w:t>
            </w:r>
          </w:p>
        </w:tc>
        <w:tc>
          <w:tcPr>
            <w:tcW w:type="dxa" w:w="8303"/>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Tool and asset custody, inspection and return</w:t>
            </w:r>
          </w:p>
        </w:tc>
      </w:tr>
      <w:tr>
        <w:tc>
          <w:tcPr>
            <w:tcW w:type="dxa" w:w="105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3</w:t>
            </w:r>
          </w:p>
        </w:tc>
        <w:tc>
          <w:tcPr>
            <w:tcW w:type="dxa" w:w="830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Material dispatch, chemical storage and inventory accuracy</w:t>
            </w:r>
          </w:p>
        </w:tc>
      </w:tr>
    </w:tbl>
    <w:p>
      <w:pPr>
        <w:widowControl/>
        <w:spacing w:after="20"/>
      </w:pPr>
    </w:p>
    <w:p>
      <w:pPr>
        <w:pStyle w:val="Heading2"/>
        <w:widowControl/>
      </w:pPr>
      <w:r>
        <w:rPr>
          <w:rFonts w:ascii="Mendl Sans Dusk Medium" w:hAnsi="Mendl Sans Dusk Medium" w:eastAsia="Mendl Sans Dusk Medium" w:cs="Mendl Sans Dusk Medium"/>
          <w:b/>
          <w:color w:val="628F79"/>
          <w:sz w:val="26"/>
        </w:rPr>
        <w:t>3. Operating workflow</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Inspect and record receipt before inventory is accepted.</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Issue assets against a custodian and expected return date.</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Document dispatch, field receipt, backorders and material exceptions.</w:t>
      </w:r>
    </w:p>
    <w:p>
      <w:pPr>
        <w:pStyle w:val="Heading2"/>
        <w:widowControl/>
      </w:pPr>
      <w:r>
        <w:rPr>
          <w:rFonts w:ascii="Mendl Sans Dusk Medium" w:hAnsi="Mendl Sans Dusk Medium" w:eastAsia="Mendl Sans Dusk Medium" w:cs="Mendl Sans Dusk Medium"/>
          <w:b/>
          <w:color w:val="628F79"/>
          <w:sz w:val="26"/>
        </w:rPr>
        <w:t>4. Evidence and records</w:t>
      </w:r>
    </w:p>
    <w:p>
      <w:pPr>
        <w:widowControl/>
      </w:pPr>
      <w:r>
        <w:rPr>
          <w:rFonts w:ascii="Mendl Sans Dusk Regular" w:hAnsi="Mendl Sans Dusk Regular" w:eastAsia="Mendl Sans Dusk Regular" w:cs="Mendl Sans Dusk Regular"/>
          <w:b w:val="0"/>
          <w:color w:val="202723"/>
          <w:sz w:val="21"/>
        </w:rPr>
        <w:t>The following records prove execution. Each record must identify project, employee, asset, vendor or transaction reference; preparer; date/time; reviewer; disposition; system-of-record location; and closure evidence where applicable.</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Receiving inspection log</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Tool checkout log</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Material delivery ticket</w:t>
      </w:r>
    </w:p>
    <w:p>
      <w:pPr>
        <w:pStyle w:val="Heading2"/>
        <w:widowControl/>
      </w:pPr>
      <w:r>
        <w:rPr>
          <w:rFonts w:ascii="Mendl Sans Dusk Medium" w:hAnsi="Mendl Sans Dusk Medium" w:eastAsia="Mendl Sans Dusk Medium" w:cs="Mendl Sans Dusk Medium"/>
          <w:b/>
          <w:color w:val="628F79"/>
          <w:sz w:val="26"/>
        </w:rPr>
        <w:t>5. Exceptions, escalation and assurance</w:t>
      </w:r>
    </w:p>
    <w:p>
      <w:pPr>
        <w:widowControl/>
      </w:pPr>
      <w:r>
        <w:rPr>
          <w:rFonts w:ascii="Mendl Sans Dusk Regular" w:hAnsi="Mendl Sans Dusk Regular" w:eastAsia="Mendl Sans Dusk Regular" w:cs="Mendl Sans Dusk Regular"/>
          <w:b w:val="0"/>
          <w:color w:val="202723"/>
          <w:sz w:val="21"/>
        </w:rPr>
        <w:t>An exception requires written scope, reason, risk, compensating control, owner, approval authority, expiration and evidence location. Material failures, overdue actions, repeat events, suspected fraud, safety risks, quality failures, cyber events or contract exposures escalate immediately to the accountable owner and executive leadership. The owner reviews operating evidence at the required management cadence and initiates a controlled revision when the process, source requirements or organization changes.</w:t>
      </w:r>
    </w:p>
    <w:p>
      <w:pPr>
        <w:widowControl/>
      </w:pPr>
      <w:r>
        <w:rPr>
          <w:rFonts w:ascii="Mendl Sans Dusk Regular" w:hAnsi="Mendl Sans Dusk Regular" w:eastAsia="Mendl Sans Dusk Regular" w:cs="Mendl Sans Dusk Regular"/>
        </w:rPr>
        <w:br w:type="page"/>
      </w:r>
    </w:p>
    <w:p>
      <w:pPr>
        <w:pStyle w:val="Heading1"/>
        <w:widowControl/>
      </w:pPr>
      <w:r>
        <w:rPr>
          <w:rFonts w:ascii="Mendl Sans Dusk Bold" w:hAnsi="Mendl Sans Dusk Bold" w:eastAsia="Mendl Sans Dusk Bold" w:cs="Mendl Sans Dusk Bold"/>
          <w:b/>
          <w:color w:val="386851"/>
          <w:sz w:val="32"/>
        </w:rPr>
        <w:t>FLEET CONTROL INTEGRATION | REVISION 2.1</w:t>
      </w:r>
    </w:p>
    <w:p>
      <w:pPr>
        <w:widowControl/>
      </w:pPr>
      <w:r>
        <w:rPr>
          <w:rFonts w:ascii="Mendl Sans Dusk Regular" w:hAnsi="Mendl Sans Dusk Regular" w:eastAsia="Mendl Sans Dusk Regular" w:cs="Mendl Sans Dusk Regular"/>
          <w:b/>
        </w:rPr>
        <w:t>Shop, tool, and service-bay controls</w:t>
      </w:r>
    </w:p>
    <w:p>
      <w:pPr>
        <w:widowControl/>
      </w:pPr>
      <w:r>
        <w:rPr>
          <w:rFonts w:ascii="Mendl Sans Dusk Regular" w:hAnsi="Mendl Sans Dusk Regular" w:eastAsia="Mendl Sans Dusk Regular" w:cs="Mendl Sans Dusk Regular"/>
        </w:rPr>
        <w:t>Effective August 2026. This integration controls where it conflicts with earlier fleet, equipment, warehouse, or maintenance language in this document.</w:t>
      </w:r>
    </w:p>
    <w:p>
      <w:pPr>
        <w:pStyle w:val="Heading2"/>
        <w:widowControl/>
      </w:pPr>
      <w:r>
        <w:rPr>
          <w:rFonts w:ascii="Mendl Sans Dusk Medium" w:hAnsi="Mendl Sans Dusk Medium" w:eastAsia="Mendl Sans Dusk Medium" w:cs="Mendl Sans Dusk Medium"/>
          <w:b/>
          <w:color w:val="628F79"/>
          <w:sz w:val="26"/>
        </w:rPr>
        <w:t>WMG-09.0 Asset architecture</w:t>
      </w:r>
    </w:p>
    <w:p>
      <w:pPr>
        <w:widowControl/>
      </w:pPr>
      <w:r>
        <w:rPr>
          <w:rFonts w:ascii="Mendl Sans Dusk Regular" w:hAnsi="Mendl Sans Dusk Regular" w:eastAsia="Mendl Sans Dusk Regular" w:cs="Mendl Sans Dusk Regular"/>
        </w:rPr>
        <w:t>The warehouse maintains separate but linked registers for fleet, heavy equipment, attachments, generators, small tools, consumables, rentals, and disposed assets. The Field Command Center is the live custody and location record.</w:t>
      </w:r>
    </w:p>
    <w:p>
      <w:pPr>
        <w:pStyle w:val="ListBullet"/>
        <w:widowControl/>
      </w:pPr>
      <w:r>
        <w:rPr>
          <w:rFonts w:ascii="Mendl Sans Dusk Regular" w:hAnsi="Mendl Sans Dusk Regular" w:eastAsia="Mendl Sans Dusk Regular" w:cs="Mendl Sans Dusk Regular"/>
        </w:rPr>
        <w:t>Apply a permanent asset ID and QR code before release.</w:t>
      </w:r>
    </w:p>
    <w:p>
      <w:pPr>
        <w:pStyle w:val="ListBullet"/>
        <w:widowControl/>
      </w:pPr>
      <w:r>
        <w:rPr>
          <w:rFonts w:ascii="Mendl Sans Dusk Regular" w:hAnsi="Mendl Sans Dusk Regular" w:eastAsia="Mendl Sans Dusk Regular" w:cs="Mendl Sans Dusk Regular"/>
        </w:rPr>
        <w:t>Record checkout to an employee ID, responsible position, project, and expected return date.</w:t>
      </w:r>
    </w:p>
    <w:p>
      <w:pPr>
        <w:pStyle w:val="ListBullet"/>
        <w:widowControl/>
      </w:pPr>
      <w:r>
        <w:rPr>
          <w:rFonts w:ascii="Mendl Sans Dusk Regular" w:hAnsi="Mendl Sans Dusk Regular" w:eastAsia="Mendl Sans Dusk Regular" w:cs="Mendl Sans Dusk Regular"/>
        </w:rPr>
        <w:t>Quarantine damaged, unverified, or overdue assets until resolved.</w:t>
      </w:r>
    </w:p>
    <w:p>
      <w:pPr>
        <w:pStyle w:val="Heading2"/>
        <w:widowControl/>
      </w:pPr>
      <w:r>
        <w:rPr>
          <w:rFonts w:ascii="Mendl Sans Dusk Medium" w:hAnsi="Mendl Sans Dusk Medium" w:eastAsia="Mendl Sans Dusk Medium" w:cs="Mendl Sans Dusk Medium"/>
          <w:b/>
          <w:color w:val="628F79"/>
          <w:sz w:val="26"/>
        </w:rPr>
        <w:t>WMG-10.0 Shop service events</w:t>
      </w:r>
    </w:p>
    <w:p>
      <w:pPr>
        <w:widowControl/>
      </w:pPr>
      <w:r>
        <w:rPr>
          <w:rFonts w:ascii="Mendl Sans Dusk Regular" w:hAnsi="Mendl Sans Dusk Regular" w:eastAsia="Mendl Sans Dusk Regular" w:cs="Mendl Sans Dusk Regular"/>
        </w:rPr>
        <w:t>The Fleet Commander controls the shop service calendar and protects the every-other-Thursday Torque Mobile service window for Superintendent and Foreman trucks.</w:t>
      </w:r>
    </w:p>
    <w:p>
      <w:pPr>
        <w:pStyle w:val="ListBullet"/>
        <w:widowControl/>
      </w:pPr>
      <w:r>
        <w:rPr>
          <w:rFonts w:ascii="Mendl Sans Dusk Regular" w:hAnsi="Mendl Sans Dusk Regular" w:eastAsia="Mendl Sans Dusk Regular" w:cs="Mendl Sans Dusk Regular"/>
        </w:rPr>
        <w:t>Stage vehicles, keys, mileage, open defects, and service scope before provider arrival.</w:t>
      </w:r>
    </w:p>
    <w:p>
      <w:pPr>
        <w:pStyle w:val="ListBullet"/>
        <w:widowControl/>
      </w:pPr>
      <w:r>
        <w:rPr>
          <w:rFonts w:ascii="Mendl Sans Dusk Regular" w:hAnsi="Mendl Sans Dusk Regular" w:eastAsia="Mendl Sans Dusk Regular" w:cs="Mendl Sans Dusk Regular"/>
        </w:rPr>
        <w:t>Capture provider report, invoice, fluids, filters, tire actions, readings, deficiencies, and next-service date.</w:t>
      </w:r>
    </w:p>
    <w:p>
      <w:pPr>
        <w:pStyle w:val="ListBullet"/>
        <w:widowControl/>
      </w:pPr>
      <w:r>
        <w:rPr>
          <w:rFonts w:ascii="Mendl Sans Dusk Regular" w:hAnsi="Mendl Sans Dusk Regular" w:eastAsia="Mendl Sans Dusk Regular" w:cs="Mendl Sans Dusk Regular"/>
        </w:rPr>
        <w:t>Store used-fluid and waste documentation with the service record when MHC controls disposal.</w:t>
      </w:r>
    </w:p>
    <w:p>
      <w:pPr>
        <w:pStyle w:val="Heading2"/>
        <w:widowControl/>
      </w:pPr>
      <w:r>
        <w:rPr>
          <w:rFonts w:ascii="Mendl Sans Dusk Medium" w:hAnsi="Mendl Sans Dusk Medium" w:eastAsia="Mendl Sans Dusk Medium" w:cs="Mendl Sans Dusk Medium"/>
          <w:b/>
          <w:color w:val="628F79"/>
          <w:sz w:val="26"/>
        </w:rPr>
        <w:t>WMG-11.0 Tool expansion</w:t>
      </w:r>
    </w:p>
    <w:p>
      <w:pPr>
        <w:widowControl/>
      </w:pPr>
      <w:r>
        <w:rPr>
          <w:rFonts w:ascii="Mendl Sans Dusk Regular" w:hAnsi="Mendl Sans Dusk Regular" w:eastAsia="Mendl Sans Dusk Regular" w:cs="Mendl Sans Dusk Regular"/>
        </w:rPr>
        <w:t>Incoming tool lists will be normalized into the same custody framework without mixing small tools into the titled fleet register.</w:t>
      </w:r>
    </w:p>
    <w:p>
      <w:pPr>
        <w:pStyle w:val="ListBullet"/>
        <w:widowControl/>
      </w:pPr>
      <w:r>
        <w:rPr>
          <w:rFonts w:ascii="Mendl Sans Dusk Regular" w:hAnsi="Mendl Sans Dusk Regular" w:eastAsia="Mendl Sans Dusk Regular" w:cs="Mendl Sans Dusk Regular"/>
        </w:rPr>
        <w:t>Use category-specific inspection and calibration fields.</w:t>
      </w:r>
    </w:p>
    <w:p>
      <w:pPr>
        <w:pStyle w:val="ListBullet"/>
        <w:widowControl/>
      </w:pPr>
      <w:r>
        <w:rPr>
          <w:rFonts w:ascii="Mendl Sans Dusk Regular" w:hAnsi="Mendl Sans Dusk Regular" w:eastAsia="Mendl Sans Dusk Regular" w:cs="Mendl Sans Dusk Regular"/>
        </w:rPr>
        <w:t>Track kits and attachments to both parent asset and current custodian.</w:t>
      </w:r>
    </w:p>
    <w:p>
      <w:pPr>
        <w:pStyle w:val="ListBullet"/>
        <w:widowControl/>
      </w:pPr>
      <w:r>
        <w:rPr>
          <w:rFonts w:ascii="Mendl Sans Dusk Regular" w:hAnsi="Mendl Sans Dusk Regular" w:eastAsia="Mendl Sans Dusk Regular" w:cs="Mendl Sans Dusk Regular"/>
        </w:rPr>
        <w:t>Retain loss, damage, repair, and disposition history.</w:t>
      </w:r>
    </w:p>
    <w:sectPr w:rsidR="00FC693F" w:rsidRPr="0006063C" w:rsidSect="00034616">
      <w:headerReference w:type="default" r:id="rId9"/>
      <w:footerReference w:type="default" r:id="rId10"/>
      <w:headerReference w:type="first" r:id="rId15"/>
      <w:footerReference w:type="first" r:id="rId16"/>
      <w:pgSz w:w="12240" w:h="15840"/>
      <w:pgMar w:top="1123" w:right="1181" w:bottom="1037"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right"/>
    </w:pPr>
    <w:r>
      <w:rPr>
        <w:rFonts w:ascii="Mendl Sans Dusk Regular" w:hAnsi="Mendl Sans Dusk Regular" w:eastAsia="Mendl Sans Dusk Regular" w:cs="Mendl Sans Dusk Regular"/>
        <w:color w:val="BD9264"/>
        <w:sz w:val="14"/>
      </w:rPr>
      <w:t>Controlled MH Ecosystem | Draft | Page 1</w:t>
    </w:r>
    <w:r>
      <w:rPr>
        <w:rFonts w:ascii="Mendl Sans Dusk Regular" w:hAnsi="Mendl Sans Dusk Regular" w:eastAsia="Mendl Sans Dusk Regular" w:cs="Mendl Sans Dusk Regular"/>
        <w:color w:val="BD9264"/>
        <w:sz w:val="14"/>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endl Sans Dusk Regular" w:hAnsi="Mendl Sans Dusk Regular" w:eastAsia="Mendl Sans Dusk Regular" w:cs="Mendl Sans Dusk Regular"/>
        <w:color w:val="BD9264"/>
        <w:sz w:val="14"/>
      </w:rPr>
      <w:t xml:space="preserve">Controlled MH Ecosystem | Page </w:t>
    </w:r>
    <w:r>
      <w:rPr>
        <w:rFonts w:ascii="Mendl Sans Dusk Regular" w:hAnsi="Mendl Sans Dusk Regular" w:eastAsia="Mendl Sans Dusk Regular" w:cs="Mendl Sans Dusk Regular"/>
        <w:color w:val="BD9264"/>
        <w:sz w:val="1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widowControl/>
      <w:pBdr>
        <w:bottom w:val="single" w:sz="6" w:space="7" w:color="BD9264"/>
        <w:bottom w:val="single" w:sz="6" w:space="7" w:color="BD9264"/>
      </w:pBdr>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310896" cy="177173"/>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10896" cy="177173"/>
                  </a:xfrm>
                  <a:prstGeom prst="rect"/>
                </pic:spPr>
              </pic:pic>
            </a:graphicData>
          </a:graphic>
        </wp:inline>
      </w:drawing>
    </w:r>
    <w:r>
      <w:rPr>
        <w:rFonts w:ascii="Mendl Sans Dusk Regular" w:hAnsi="Mendl Sans Dusk Regular" w:eastAsia="Mendl Sans Dusk Regular" w:cs="Mendl Sans Dusk Regular"/>
        <w:b/>
        <w:color w:val="386851"/>
        <w:sz w:val="15"/>
      </w:rPr>
      <w:t xml:space="preserve">  MH CONSTRUCTION | ENTERPRISE MANAGEMENT SYSTEM | MHC-GC.COM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endl Sans Dusk Regular" w:hAnsi="Mendl Sans Dusk Regular"/>
      <w:color w:val="2027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endl Sans Dusk Bold" w:hAnsi="Mendl Sans Dusk Bold"/>
      <w:b/>
      <w:bCs/>
      <w:color w:val="386851"/>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endl Sans Dusk Medium" w:hAnsi="Mendl Sans Dusk Medium"/>
      <w:b/>
      <w:bCs/>
      <w:color w:val="628F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endl Sans Dusk Medium" w:hAnsi="Mendl Sans Dusk Medium"/>
      <w:b/>
      <w:bCs/>
      <w:color w:val="1E392C"/>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Mendl Sans Dusk Medium" w:hAnsi="Mendl Sans Dusk Medium"/>
      <w:b/>
      <w:bCs/>
      <w:i/>
      <w:iCs/>
      <w:color w:val="20272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Mendl Sans Dusk Bold" w:hAnsi="Mendl Sans Dusk Bold"/>
      <w:b/>
      <w:color w:val="38685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Mendl Sans Dusk Medium" w:hAnsi="Mendl Sans Dusk Medium"/>
      <w:b/>
      <w:i/>
      <w:iCs/>
      <w:color w:val="628F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 Id="rId15" Type="http://schemas.openxmlformats.org/officeDocument/2006/relationships/header" Target="header2.xml"/><Relationship Id="rId16"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EC02E66-0FD6-415B-9F38-0A97238A8599}"/>
</file>

<file path=customXml/itemProps3.xml><?xml version="1.0" encoding="utf-8"?>
<ds:datastoreItem xmlns:ds="http://schemas.openxmlformats.org/officeDocument/2006/customXml" ds:itemID="{05D530E6-4567-4B9A-B9AD-6431694FEA75}"/>
</file>

<file path=customXml/itemProps4.xml><?xml version="1.0" encoding="utf-8"?>
<ds:datastoreItem xmlns:ds="http://schemas.openxmlformats.org/officeDocument/2006/customXml" ds:itemID="{AC428702-F0E1-400C-B0C2-881E2115313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Management Guide</dc:title>
  <dc:subject>Enterprise management system</dc:subject>
  <dc:creator>Matt Ramsey</dc:creator>
  <cp:keywords/>
  <dc:description>MH Ecosystem controlled Draft. Final approval authority: Jeremy Thamert.</dc:description>
  <cp:lastModifiedBy>Todd Shoeff</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