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9878"/>
      </w:tblGrid>
      <w:tr>
        <w:trPr>
          <w:trHeight w:val="12200" w:hRule="atLeast"/>
        </w:trPr>
        <w:tc>
          <w:tcPr>
            <w:tcW w:type="dxa" w:w="9878"/>
            <w:shd w:fill="0F1412"/>
            <w:vAlign w:val="center"/>
          </w:tcPr>
          <w:p>
            <w:pPr>
              <w:spacing w:after="840"/>
              <w:jc w:val="center"/>
            </w:pPr>
            <w:r>
              <w:drawing>
                <wp:inline xmlns:a="http://schemas.openxmlformats.org/drawingml/2006/main" xmlns:pic="http://schemas.openxmlformats.org/drawingml/2006/picture">
                  <wp:extent cx="2148840" cy="1224580"/>
                  <wp:docPr id="1" name="Picture 1"/>
                  <wp:cNvGraphicFramePr>
                    <a:graphicFrameLocks noChangeAspect="1"/>
                  </wp:cNvGraphicFramePr>
                  <a:graphic>
                    <a:graphicData uri="http://schemas.openxmlformats.org/drawingml/2006/picture">
                      <pic:pic>
                        <pic:nvPicPr>
                          <pic:cNvPr id="0" name="mh-logo-from-bible.png"/>
                          <pic:cNvPicPr/>
                        </pic:nvPicPr>
                        <pic:blipFill>
                          <a:blip r:embed="rId13"/>
                          <a:stretch>
                            <a:fillRect/>
                          </a:stretch>
                        </pic:blipFill>
                        <pic:spPr>
                          <a:xfrm>
                            <a:off x="0" y="0"/>
                            <a:ext cx="2148840" cy="1224580"/>
                          </a:xfrm>
                          <a:prstGeom prst="rect"/>
                        </pic:spPr>
                      </pic:pic>
                    </a:graphicData>
                  </a:graphic>
                </wp:inline>
              </w:drawing>
            </w:r>
          </w:p>
          <w:p>
            <w:pPr>
              <w:spacing w:after="320"/>
              <w:jc w:val="left"/>
            </w:pPr>
            <w:r>
              <w:rPr>
                <w:rFonts w:ascii="Mendl Sans Dusk Medium" w:hAnsi="Mendl Sans Dusk Medium" w:eastAsia="Mendl Sans Dusk Medium" w:cs="Mendl Sans Dusk Medium"/>
                <w:b/>
                <w:color w:val="BD9264"/>
                <w:sz w:val="18"/>
              </w:rPr>
              <w:t>CONTROLLED ENTERPRISE DOCUMENT</w:t>
            </w:r>
          </w:p>
          <w:p>
            <w:pPr>
              <w:spacing w:after="220"/>
              <w:jc w:val="left"/>
            </w:pPr>
            <w:r>
              <w:rPr>
                <w:rFonts w:ascii="Mendl Sans Dusk Bold" w:hAnsi="Mendl Sans Dusk Bold" w:eastAsia="Mendl Sans Dusk Bold" w:cs="Mendl Sans Dusk Bold"/>
                <w:b/>
                <w:color w:val="FFFFFF"/>
                <w:sz w:val="50"/>
              </w:rPr>
              <w:t>Field Command Center System Standard</w:t>
            </w:r>
          </w:p>
          <w:p>
            <w:pPr>
              <w:spacing w:after="320"/>
              <w:jc w:val="left"/>
            </w:pPr>
            <w:r>
              <w:rPr>
                <w:rFonts w:ascii="Mendl Sans Dusk Medium" w:hAnsi="Mendl Sans Dusk Medium" w:eastAsia="Mendl Sans Dusk Medium" w:cs="Mendl Sans Dusk Medium"/>
                <w:b/>
                <w:color w:val="628F79"/>
                <w:sz w:val="26"/>
              </w:rPr>
              <w:t>MH Construction Enterprise Management System</w:t>
            </w:r>
          </w:p>
          <w:p>
            <w:pPr>
              <w:spacing w:after="240"/>
              <w:jc w:val="left"/>
            </w:pPr>
            <w:r>
              <w:rPr>
                <w:rFonts w:ascii="Mendl Sans Dusk Regular" w:hAnsi="Mendl Sans Dusk Regular" w:eastAsia="Mendl Sans Dusk Regular" w:cs="Mendl Sans Dusk Regular"/>
                <w:color w:val="FFFFFF"/>
                <w:sz w:val="18"/>
              </w:rPr>
              <w:t>Document family: IT AND INFRASTRUCTURE\nControlled file: mh-field-command-center-system-standard-v1-0-draft.docx\nLifecycle: Draft</w:t>
            </w:r>
          </w:p>
          <w:p>
            <w:pPr>
              <w:spacing w:before="120"/>
              <w:pBdr>
                <w:bottom w:val="single" w:sz="6" w:space="7" w:color="BD9264"/>
              </w:pBdr>
            </w:pPr>
            <w:r>
              <w:rPr>
                <w:rFonts w:ascii="Mendl Sans Dusk Medium" w:hAnsi="Mendl Sans Dusk Medium" w:eastAsia="Mendl Sans Dusk Medium" w:cs="Mendl Sans Dusk Medium"/>
                <w:b/>
                <w:color w:val="FFFFFF"/>
                <w:sz w:val="18"/>
              </w:rPr>
              <w:t>Use only after required functional, technical, field-usability, and approval gates are complete.</w:t>
            </w:r>
          </w:p>
        </w:tc>
      </w:tr>
    </w:tbl>
    <w:p>
      <w:r>
        <w:br w:type="page"/>
      </w:r>
    </w:p>
    <w:p>
      <w:pPr/>
      <w:r>
        <w:t>Control: Version 1.0 | Status Draft | Author and Chief Editor: Matt Ramsey | Co-Editor: Todd Shoeff | Final Approver: Jeremy Thamert</w:t>
      </w:r>
    </w:p>
    <w:p>
      <w:pPr>
        <w:pStyle w:val="Title"/>
      </w:pPr>
      <w:r>
        <w:t>Field Command Center System Standard</w:t>
      </w:r>
    </w:p>
    <w:p>
      <w:pPr>
        <w:pStyle w:val="Subtitle"/>
      </w:pPr>
      <w:r>
        <w:t>Version 1.0 | Draft | Effective date pending approval</w:t>
      </w:r>
    </w:p>
    <w:tbl>
      <w:tblPr>
        <w:tblW w:type="auto" w:w="0"/>
        <w:tblLayout w:type="fixed"/>
        <w:tblLook w:firstColumn="1" w:firstRow="1" w:lastColumn="0" w:lastRow="0" w:noHBand="0" w:noVBand="1" w:val="04A0"/>
      </w:tblPr>
      <w:tblGrid>
        <w:gridCol w:w="4939"/>
        <w:gridCol w:w="4939"/>
      </w:tblGrid>
      <w:tr>
        <w:tc>
          <w:tcPr>
            <w:tcW w:type="dxa" w:w="3168"/>
            <w:vAlign w:val="center"/>
            <w:shd w:fill="386851"/>
          </w:tcPr>
          <w:p>
            <w:r/>
            <w:r>
              <w:rPr>
                <w:rFonts w:ascii="Mendl Sans Dusk Medium" w:hAnsi="Mendl Sans Dusk Medium" w:eastAsia="Mendl Sans Dusk Medium" w:cs="Mendl Sans Dusk Medium"/>
                <w:b/>
                <w:color w:val="FFFFFF"/>
                <w:sz w:val="18"/>
              </w:rPr>
              <w:t>Control Role</w:t>
            </w:r>
          </w:p>
        </w:tc>
        <w:tc>
          <w:tcPr>
            <w:tcW w:type="dxa" w:w="6912"/>
            <w:vAlign w:val="center"/>
            <w:shd w:fill="386851"/>
          </w:tcPr>
          <w:p>
            <w:r/>
            <w:r>
              <w:rPr>
                <w:rFonts w:ascii="Mendl Sans Dusk Medium" w:hAnsi="Mendl Sans Dusk Medium" w:eastAsia="Mendl Sans Dusk Medium" w:cs="Mendl Sans Dusk Medium"/>
                <w:b/>
                <w:color w:val="FFFFFF"/>
                <w:sz w:val="18"/>
              </w:rPr>
              <w:t>Assigned</w:t>
            </w:r>
          </w:p>
        </w:tc>
      </w:tr>
      <w:tr>
        <w:tc>
          <w:tcPr>
            <w:tcW w:type="dxa" w:w="3168"/>
            <w:vAlign w:val="center"/>
          </w:tcPr>
          <w:p>
            <w:r/>
            <w:r>
              <w:rPr>
                <w:rFonts w:ascii="Mendl Sans Dusk Regular" w:hAnsi="Mendl Sans Dusk Regular" w:eastAsia="Mendl Sans Dusk Regular" w:cs="Mendl Sans Dusk Regular"/>
                <w:b w:val="0"/>
                <w:color w:val="202723"/>
                <w:sz w:val="18"/>
              </w:rPr>
              <w:t>Author / Chief Editor</w:t>
            </w:r>
          </w:p>
        </w:tc>
        <w:tc>
          <w:tcPr>
            <w:tcW w:type="dxa" w:w="6912"/>
            <w:vAlign w:val="center"/>
          </w:tcPr>
          <w:p>
            <w:r/>
            <w:r>
              <w:rPr>
                <w:rFonts w:ascii="Mendl Sans Dusk Regular" w:hAnsi="Mendl Sans Dusk Regular" w:eastAsia="Mendl Sans Dusk Regular" w:cs="Mendl Sans Dusk Regular"/>
                <w:b w:val="0"/>
                <w:color w:val="202723"/>
                <w:sz w:val="18"/>
              </w:rPr>
              <w:t>Matt Ramsey</w:t>
            </w:r>
          </w:p>
        </w:tc>
      </w:tr>
      <w:tr>
        <w:tc>
          <w:tcPr>
            <w:tcW w:type="dxa" w:w="3168"/>
            <w:vAlign w:val="center"/>
          </w:tcPr>
          <w:p>
            <w:r/>
            <w:r>
              <w:rPr>
                <w:rFonts w:ascii="Mendl Sans Dusk Regular" w:hAnsi="Mendl Sans Dusk Regular" w:eastAsia="Mendl Sans Dusk Regular" w:cs="Mendl Sans Dusk Regular"/>
                <w:b w:val="0"/>
                <w:color w:val="202723"/>
                <w:sz w:val="18"/>
              </w:rPr>
              <w:t>Co-Editor</w:t>
            </w:r>
          </w:p>
        </w:tc>
        <w:tc>
          <w:tcPr>
            <w:tcW w:type="dxa" w:w="6912"/>
            <w:vAlign w:val="center"/>
          </w:tcPr>
          <w:p>
            <w:r/>
            <w:r>
              <w:rPr>
                <w:rFonts w:ascii="Mendl Sans Dusk Regular" w:hAnsi="Mendl Sans Dusk Regular" w:eastAsia="Mendl Sans Dusk Regular" w:cs="Mendl Sans Dusk Regular"/>
                <w:b w:val="0"/>
                <w:color w:val="202723"/>
                <w:sz w:val="18"/>
              </w:rPr>
              <w:t>Todd Shoeff</w:t>
            </w:r>
          </w:p>
        </w:tc>
      </w:tr>
      <w:tr>
        <w:tc>
          <w:tcPr>
            <w:tcW w:type="dxa" w:w="3168"/>
            <w:vAlign w:val="center"/>
          </w:tcPr>
          <w:p>
            <w:r/>
            <w:r>
              <w:rPr>
                <w:rFonts w:ascii="Mendl Sans Dusk Regular" w:hAnsi="Mendl Sans Dusk Regular" w:eastAsia="Mendl Sans Dusk Regular" w:cs="Mendl Sans Dusk Regular"/>
                <w:b w:val="0"/>
                <w:color w:val="202723"/>
                <w:sz w:val="18"/>
              </w:rPr>
              <w:t>Final Approver</w:t>
            </w:r>
          </w:p>
        </w:tc>
        <w:tc>
          <w:tcPr>
            <w:tcW w:type="dxa" w:w="6912"/>
            <w:vAlign w:val="center"/>
          </w:tcPr>
          <w:p>
            <w:r/>
            <w:r>
              <w:rPr>
                <w:rFonts w:ascii="Mendl Sans Dusk Regular" w:hAnsi="Mendl Sans Dusk Regular" w:eastAsia="Mendl Sans Dusk Regular" w:cs="Mendl Sans Dusk Regular"/>
                <w:b w:val="0"/>
                <w:color w:val="202723"/>
                <w:sz w:val="18"/>
              </w:rPr>
              <w:t>Jeremy Thamert</w:t>
            </w:r>
          </w:p>
        </w:tc>
      </w:tr>
      <w:tr>
        <w:tc>
          <w:tcPr>
            <w:tcW w:type="dxa" w:w="3168"/>
            <w:vAlign w:val="center"/>
          </w:tcPr>
          <w:p>
            <w:r/>
            <w:r>
              <w:rPr>
                <w:rFonts w:ascii="Mendl Sans Dusk Regular" w:hAnsi="Mendl Sans Dusk Regular" w:eastAsia="Mendl Sans Dusk Regular" w:cs="Mendl Sans Dusk Regular"/>
                <w:b w:val="0"/>
                <w:color w:val="202723"/>
                <w:sz w:val="18"/>
              </w:rPr>
              <w:t>Lifecycle</w:t>
            </w:r>
          </w:p>
        </w:tc>
        <w:tc>
          <w:tcPr>
            <w:tcW w:type="dxa" w:w="6912"/>
            <w:vAlign w:val="center"/>
          </w:tcPr>
          <w:p>
            <w:r/>
            <w:r>
              <w:rPr>
                <w:rFonts w:ascii="Mendl Sans Dusk Regular" w:hAnsi="Mendl Sans Dusk Regular" w:eastAsia="Mendl Sans Dusk Regular" w:cs="Mendl Sans Dusk Regular"/>
                <w:b w:val="0"/>
                <w:color w:val="202723"/>
                <w:sz w:val="18"/>
              </w:rPr>
              <w:t>Draft</w:t>
            </w:r>
          </w:p>
        </w:tc>
      </w:tr>
      <w:tr>
        <w:tc>
          <w:tcPr>
            <w:tcW w:type="dxa" w:w="3168"/>
            <w:vAlign w:val="center"/>
          </w:tcPr>
          <w:p>
            <w:r/>
            <w:r>
              <w:rPr>
                <w:rFonts w:ascii="Mendl Sans Dusk Regular" w:hAnsi="Mendl Sans Dusk Regular" w:eastAsia="Mendl Sans Dusk Regular" w:cs="Mendl Sans Dusk Regular"/>
                <w:b w:val="0"/>
                <w:color w:val="202723"/>
                <w:sz w:val="18"/>
              </w:rPr>
              <w:t>Effective Date</w:t>
            </w:r>
          </w:p>
        </w:tc>
        <w:tc>
          <w:tcPr>
            <w:tcW w:type="dxa" w:w="6912"/>
            <w:vAlign w:val="center"/>
          </w:tcPr>
          <w:p>
            <w:r/>
            <w:r>
              <w:rPr>
                <w:rFonts w:ascii="Mendl Sans Dusk Regular" w:hAnsi="Mendl Sans Dusk Regular" w:eastAsia="Mendl Sans Dusk Regular" w:cs="Mendl Sans Dusk Regular"/>
                <w:b w:val="0"/>
                <w:color w:val="202723"/>
                <w:sz w:val="18"/>
              </w:rPr>
              <w:t>Pending Approval</w:t>
            </w:r>
          </w:p>
        </w:tc>
      </w:tr>
    </w:tbl>
    <w:p>
      <w:pPr>
        <w:pStyle w:val="Heading1"/>
      </w:pPr>
      <w:r>
        <w:t>Purpose</w:t>
      </w:r>
    </w:p>
    <w:p>
      <w:r>
        <w:t>Govern the in-house operational dashboard and its fleet, WMS, qualification, project, maintenance, and controlled-record modules.</w:t>
      </w:r>
    </w:p>
    <w:p>
      <w:pPr>
        <w:pStyle w:val="Heading1"/>
      </w:pPr>
      <w:r>
        <w:t>1. Ownership</w:t>
      </w:r>
    </w:p>
    <w:p>
      <w:r>
        <w:t>COO is operational owner. Fleet Commander owns fleet data quality. Warehouse Manager owns WMS data quality. CHNAV leads workflow design. CHENG governs brand, website, safety, stakeholder, and technical-asset impacts. IT administers configuration, accounts, cybersecurity, backups, devices, integrations, uptime, and deployment.</w:t>
      </w:r>
    </w:p>
    <w:p>
      <w:pPr>
        <w:pStyle w:val="Heading1"/>
      </w:pPr>
      <w:r>
        <w:t>2. Release control</w:t>
      </w:r>
    </w:p>
    <w:p>
      <w:r>
        <w:t>CHENG and CHNAV must agree, IT must verify testing and rollback readiness, and COO grants final production approval. Unresolved safety, security, legal, or material enterprise objections escalate to CEO. Emergency changes receive review within 24 hours.</w:t>
      </w:r>
    </w:p>
    <w:p>
      <w:pPr>
        <w:pStyle w:val="Heading1"/>
      </w:pPr>
      <w:r>
        <w:t>3. Operational authority</w:t>
      </w:r>
    </w:p>
    <w:p>
      <w:r>
        <w:t>IT cannot change availability, qualification, maintenance holds, assignments, or return-to-service decisions. Fleet Commander controls administrative repair release; Chief Superintendent completes the final operational check after safety-critical repairs. Routine preventive maintenance may be released by Fleet Commander.</w:t>
      </w:r>
    </w:p>
    <w:p>
      <w:pPr>
        <w:pStyle w:val="Heading1"/>
      </w:pPr>
      <w:r>
        <w:t>4. Communication</w:t>
      </w:r>
    </w:p>
    <w:p>
      <w:r>
        <w:t>Safety-critical holds generate dashboard, email, and SMS notices. Downtime records show asset, location, defect, safety status, forecast, replacement plan, owner, vendor, and next update. Fleet Commander updates open downtime before Monday 9:00 a.m. meetings and every-other-Thursday Superintendent meetings, and immediately when forecasts change.</w:t>
      </w:r>
    </w:p>
    <w:p>
      <w:pPr>
        <w:pStyle w:val="Heading1"/>
      </w:pPr>
      <w:r>
        <w:t>5. Transfer discipline</w:t>
      </w:r>
    </w:p>
    <w:p>
      <w:r>
        <w:t>Chief Superintendent may redirect equipment immediately for production, but must record the dashboard transfer immediately and email affected parties. Failure to communicate within 24 hours triggers progressive corrective action through COO.</w:t>
      </w:r>
    </w:p>
    <w:p>
      <w:pPr>
        <w:pStyle w:val="Heading1"/>
      </w:pPr>
      <w:r>
        <w:t>6. Audit and privacy</w:t>
      </w:r>
    </w:p>
    <w:p>
      <w:r>
        <w:t>The system maintains immutable audit history. Public status is limited to Qualified and Current or Not Current; authorized supervisors see deficiencies and employees see their own details. Audit logs remain active for one year and then archive permanently to the server.</w:t>
      </w:r>
    </w:p>
    <w:sectPr w:rsidR="00FC693F" w:rsidRPr="0006063C" w:rsidSect="00034616">
      <w:headerReference w:type="default" r:id="rId9"/>
      <w:headerReference w:type="first" r:id="rId10"/>
      <w:footerReference w:type="default" r:id="rId11"/>
      <w:footerReference w:type="first" r:id="rId12"/>
      <w:pgSz w:w="12240" w:h="15840"/>
      <w:pgMar w:top="1123" w:right="1181" w:bottom="1037" w:left="1181"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jc w:val="right"/>
    </w:pPr>
    <w:r>
      <w:rPr>
        <w:rFonts w:ascii="Mendl Sans Dusk Regular" w:hAnsi="Mendl Sans Dusk Regular" w:eastAsia="Mendl Sans Dusk Regular" w:cs="Mendl Sans Dusk Regular"/>
        <w:color w:val="BD9264"/>
        <w:sz w:val="14"/>
      </w:rPr>
      <w:t>Controlled MH Ecosystem | Draft | Page 1</w:t>
    </w:r>
    <w:r>
      <w:rPr>
        <w:rFonts w:ascii="Mendl Sans Dusk Regular" w:hAnsi="Mendl Sans Dusk Regular" w:eastAsia="Mendl Sans Dusk Regular" w:cs="Mendl Sans Dusk Regular"/>
        <w:color w:val="BD9264"/>
        <w:sz w:val="14"/>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endl Sans Dusk Regular" w:hAnsi="Mendl Sans Dusk Regular" w:eastAsia="Mendl Sans Dusk Regular" w:cs="Mendl Sans Dusk Regular"/>
        <w:color w:val="BD9264"/>
        <w:sz w:val="14"/>
      </w:rPr>
      <w:t xml:space="preserve">Controlled MH Ecosystem | Page </w:t>
    </w:r>
    <w:r>
      <w:rPr>
        <w:rFonts w:ascii="Mendl Sans Dusk Regular" w:hAnsi="Mendl Sans Dusk Regular" w:eastAsia="Mendl Sans Dusk Regular" w:cs="Mendl Sans Dusk Regular"/>
        <w:color w:val="BD9264"/>
        <w:sz w:val="14"/>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widowControl/>
      <w:pBdr>
        <w:bottom w:val="single" w:sz="6" w:space="7" w:color="BD9264"/>
      </w:pBdr>
    </w:pPr>
    <w:r>
      <w:rPr>
        <w:rFonts w:ascii="Mendl Sans Dusk Regular" w:hAnsi="Mendl Sans Dusk Regular" w:eastAsia="Mendl Sans Dusk Regular" w:cs="Mendl Sans Dusk Regular"/>
      </w:rPr>
      <w:drawing>
        <wp:inline xmlns:a="http://schemas.openxmlformats.org/drawingml/2006/main" xmlns:pic="http://schemas.openxmlformats.org/drawingml/2006/picture">
          <wp:extent cx="310896" cy="177173"/>
          <wp:docPr id="1" name="Picture 1"/>
          <wp:cNvGraphicFramePr>
            <a:graphicFrameLocks noChangeAspect="1"/>
          </wp:cNvGraphicFramePr>
          <a:graphic>
            <a:graphicData uri="http://schemas.openxmlformats.org/drawingml/2006/picture">
              <pic:pic>
                <pic:nvPicPr>
                  <pic:cNvPr id="0" name="mh-logo-from-bible.png"/>
                  <pic:cNvPicPr/>
                </pic:nvPicPr>
                <pic:blipFill>
                  <a:blip r:embed="rId1"/>
                  <a:stretch>
                    <a:fillRect/>
                  </a:stretch>
                </pic:blipFill>
                <pic:spPr>
                  <a:xfrm>
                    <a:off x="0" y="0"/>
                    <a:ext cx="310896" cy="177173"/>
                  </a:xfrm>
                  <a:prstGeom prst="rect"/>
                </pic:spPr>
              </pic:pic>
            </a:graphicData>
          </a:graphic>
        </wp:inline>
      </w:drawing>
    </w:r>
    <w:r>
      <w:rPr>
        <w:rFonts w:ascii="Mendl Sans Dusk Regular" w:hAnsi="Mendl Sans Dusk Regular" w:eastAsia="Mendl Sans Dusk Regular" w:cs="Mendl Sans Dusk Regular"/>
        <w:b/>
        <w:color w:val="386851"/>
        <w:sz w:val="15"/>
      </w:rPr>
      <w:t xml:space="preserve">  MH CONSTRUCTION | ENTERPRISE MANAGEMENT SYSTEM | MHC-GC.COM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Mendl Sans Dusk Regular" w:hAnsi="Mendl Sans Dusk Regular"/>
      <w:color w:val="2027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Mendl Sans Dusk Bold" w:hAnsi="Mendl Sans Dusk Bold"/>
      <w:b/>
      <w:bCs/>
      <w:color w:val="386851"/>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Mendl Sans Dusk Medium" w:hAnsi="Mendl Sans Dusk Medium"/>
      <w:b/>
      <w:bCs/>
      <w:color w:val="628F79"/>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Mendl Sans Dusk Medium" w:hAnsi="Mendl Sans Dusk Medium"/>
      <w:b/>
      <w:bCs/>
      <w:color w:val="1E392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Mendl Sans Dusk Bold" w:hAnsi="Mendl Sans Dusk Bold"/>
      <w:b/>
      <w:color w:val="386851"/>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320"/>
    </w:pPr>
    <w:rPr>
      <w:rFonts w:asciiTheme="majorHAnsi" w:eastAsiaTheme="majorEastAsia" w:hAnsiTheme="majorHAnsi" w:cstheme="majorBidi" w:ascii="Mendl Sans Dusk Medium" w:hAnsi="Mendl Sans Dusk Medium"/>
      <w:b/>
      <w:i/>
      <w:iCs/>
      <w:color w:val="628F7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Ramsey</dc:creator>
  <cp:keywords/>
  <dc:description>MH Ecosystem controlled Draft. Final approval authority: Jeremy Thamert.</dc:description>
  <cp:lastModifiedBy>Todd Shoeff</cp:lastModifiedBy>
  <cp:revision>1</cp:revision>
  <dcterms:created xsi:type="dcterms:W3CDTF">2013-12-23T23:15:00Z</dcterms:created>
  <dcterms:modified xsi:type="dcterms:W3CDTF">2013-12-23T23:15:00Z</dcterms:modified>
  <cp:category/>
</cp:coreProperties>
</file>