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Eom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eom-f-05-2-return-to-service-release-v1-0-draft.docx\nLifecycle: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pStyle w:val="Title"/>
      </w:pPr>
      <w:r>
        <w:t>EOM-F-05.2 | RETURN-TO-SERVICE RELEASE</w:t>
      </w:r>
    </w:p>
    <w:p>
      <w:r>
        <w:rPr>
          <w:b/>
        </w:rPr>
        <w:t xml:space="preserve">FIELD INSTRUCTION: </w:t>
      </w:r>
      <w:r>
        <w:t>Complete all required fields and attach supporting records. Do not delete the asset history after disposition or transfer.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Work Order ID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Asset ID / QR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Service Completed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Parts / Fluids / Tire Work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Post-Service Inspection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Remaining Restrictions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Mileage / Hours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Next Service Trigger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Invoice / Report Link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p>
      <w:pPr>
        <w:pStyle w:val="Heading2"/>
      </w:pPr>
      <w:r>
        <w:t>Authorization and Closeout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Required Approval</w:t>
            </w:r>
          </w:p>
        </w:tc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Signature / Employee ID / Date-Time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Qualified provider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Fleet Commander acceptance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