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336049"/>
          <w:sz w:val="32"/>
        </w:rPr>
        <w:t>MISH 50 — Return-to-Work Program</w:t>
      </w:r>
    </w:p>
    <w:p>
      <w:pPr>
        <w:spacing w:before="0" w:after="20"/>
      </w:pPr>
      <w:r>
        <w:rPr>
          <w:color w:val="333333"/>
          <w:sz w:val="18"/>
        </w:rPr>
        <w:t>Chapter 8: Emergency Response &amp; Incident Management  |  29 CFR 1926.20  |  Travelers Risk Control Standard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10" w:space="0" w:color="336049"/>
          <w:left w:val="single" w:sz="10" w:space="0" w:color="336049"/>
          <w:bottom w:val="single" w:sz="10" w:space="0" w:color="336049"/>
          <w:right w:val="single" w:sz="10" w:space="0" w:color="336049"/>
          <w:insideH w:val="single" w:sz="10" w:space="0" w:color="336049"/>
          <w:insideV w:val="single" w:sz="10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MISH 50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3.0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April 2026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Jeremy Thamert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36049"/>
          <w:left w:val="single" w:sz="8" w:space="0" w:color="336049"/>
          <w:bottom w:val="single" w:sz="8" w:space="0" w:color="336049"/>
          <w:right w:val="single" w:sz="8" w:space="0" w:color="336049"/>
          <w:insideH w:val="single" w:sz="8" w:space="0" w:color="336049"/>
          <w:insideV w:val="single" w:sz="8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President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Safety Officer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Travelers Risk Control Consultant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AGC Representative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Jeremy Thamert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Matt Ramsey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</w:tr>
    </w:tbl>
    <w:p/>
    <w:p>
      <w:pPr>
        <w:pStyle w:val="Heading1"/>
        <w:spacing w:before="200" w:after="80"/>
      </w:pPr>
      <w:r>
        <w:rPr>
          <w:color w:val="336049"/>
          <w:sz w:val="28"/>
        </w:rPr>
        <w:t>1.0  PURPOSE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1.1  </w:t>
      </w:r>
      <w:r>
        <w:rPr>
          <w:b w:val="0"/>
          <w:sz w:val="22"/>
        </w:rPr>
        <w:t>MH Construction is committed to returning injured employees to productive work as quickly and safely as possible.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1.2  </w:t>
      </w:r>
      <w:r>
        <w:rPr>
          <w:b w:val="0"/>
          <w:sz w:val="22"/>
        </w:rPr>
        <w:t>A formal Return-to-Work (RTW) program reduces workers compensation costs, maintains employee morale, and demonstrates MHC's commitment to its workforce.</w:t>
      </w:r>
    </w:p>
    <w:p>
      <w:pPr>
        <w:pStyle w:val="Heading1"/>
        <w:spacing w:before="200" w:after="80"/>
      </w:pPr>
      <w:r>
        <w:rPr>
          <w:color w:val="336049"/>
          <w:sz w:val="28"/>
        </w:rPr>
        <w:t>2.0  PROGRAM ELEMENTS</w:t>
      </w:r>
    </w:p>
    <w:p>
      <w:pPr>
        <w:pStyle w:val="Heading2"/>
        <w:spacing w:before="140" w:after="60"/>
      </w:pPr>
      <w:r>
        <w:rPr>
          <w:color w:val="336049"/>
          <w:sz w:val="24"/>
        </w:rPr>
        <w:t>2.1  Modified Duty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2.1.1  </w:t>
      </w:r>
      <w:r>
        <w:rPr>
          <w:b w:val="0"/>
          <w:sz w:val="22"/>
        </w:rPr>
        <w:t>MHC will make reasonable efforts to provide modified or light duty assignments for injured employees who are medically cleared to return with restrictions.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2.1.2  </w:t>
      </w:r>
      <w:r>
        <w:rPr>
          <w:b w:val="0"/>
          <w:sz w:val="22"/>
        </w:rPr>
        <w:t>Modified duty assignments must be within the employee's medical restrictions and must be documented by the treating physician.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2.1.3  </w:t>
      </w:r>
      <w:r>
        <w:rPr>
          <w:b w:val="0"/>
          <w:sz w:val="22"/>
        </w:rPr>
        <w:t>Modified duty is temporary. The goal is full return to the employee's regular position.</w:t>
      </w:r>
    </w:p>
    <w:p>
      <w:pPr>
        <w:pStyle w:val="Heading2"/>
        <w:spacing w:before="140" w:after="60"/>
      </w:pPr>
      <w:r>
        <w:rPr>
          <w:color w:val="336049"/>
          <w:sz w:val="24"/>
        </w:rPr>
        <w:t>2.2  Medical Management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2.2.1  </w:t>
      </w:r>
      <w:r>
        <w:rPr>
          <w:b w:val="0"/>
          <w:sz w:val="22"/>
        </w:rPr>
        <w:t>The Safety Officer will maintain contact with the injured employee and treating physician throughout the recovery process.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2.2.2  </w:t>
      </w:r>
      <w:r>
        <w:rPr>
          <w:b w:val="0"/>
          <w:sz w:val="22"/>
        </w:rPr>
        <w:t>MHC will designate a preferred medical provider for occupational injuries. Employees must use the designated provider for initial treatment.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2.2.3  </w:t>
      </w:r>
      <w:r>
        <w:rPr>
          <w:b w:val="0"/>
          <w:sz w:val="22"/>
        </w:rPr>
        <w:t>All medical restrictions must be communicated to the Project Manager and Safety Officer before the employee returns to any work activity.</w:t>
      </w:r>
    </w:p>
    <w:p>
      <w:pPr>
        <w:pStyle w:val="Heading2"/>
        <w:spacing w:before="140" w:after="60"/>
      </w:pPr>
      <w:r>
        <w:rPr>
          <w:color w:val="336049"/>
          <w:sz w:val="24"/>
        </w:rPr>
        <w:t>2.3  Return-to-Work Agreement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2.3.1  </w:t>
      </w:r>
      <w:r>
        <w:rPr>
          <w:b w:val="0"/>
          <w:sz w:val="22"/>
        </w:rPr>
        <w:t>Before returning to work after a lost-time injury, the employee must sign Form 50-A (Return-to-Work Agreement) acknowledging their restrictions and modified duty assignment.</w:t>
      </w:r>
    </w:p>
    <w:p>
      <w:pPr>
        <w:pStyle w:val="Heading1"/>
        <w:spacing w:before="200" w:after="80"/>
      </w:pPr>
      <w:r>
        <w:rPr>
          <w:color w:val="336049"/>
          <w:sz w:val="28"/>
        </w:rPr>
        <w:t>3.0  WORKERS COMPENSATION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3.1  </w:t>
      </w:r>
      <w:r>
        <w:rPr>
          <w:b w:val="0"/>
          <w:sz w:val="22"/>
        </w:rPr>
        <w:t>All work-related injuries must be reported to the Safety Officer immediately and to Washington State L&amp;I within the required timeframe.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3.2  </w:t>
      </w:r>
      <w:r>
        <w:rPr>
          <w:b w:val="0"/>
          <w:sz w:val="22"/>
        </w:rPr>
        <w:t>MHC will cooperate fully with L&amp;I and Travelers in the management of all workers compensation claims.</w:t>
      </w:r>
    </w:p>
    <w:p>
      <w:pPr>
        <w:pStyle w:val="Heading3"/>
        <w:spacing w:before="100" w:after="40"/>
      </w:pPr>
      <w:r>
        <w:rPr>
          <w:color w:val="333333"/>
          <w:sz w:val="22"/>
        </w:rPr>
        <w:t>Training &amp; Reference Resources</w:t>
      </w:r>
    </w:p>
    <w:p>
      <w:pPr>
        <w:spacing w:before="20" w:after="20"/>
      </w:pPr>
      <w:r>
        <w:rPr>
          <w:b/>
        </w:rPr>
        <w:t xml:space="preserve">Travelers Risk Control: </w:t>
      </w:r>
      <w:hyperlink r:id="rId11">
        <w:r>
          <w:rPr>
            <w:rStyle w:val="Hyperlink"/>
            <w:color w:val="0563C1"/>
            <w:u w:val="single"/>
          </w:rPr>
          <w:t xml:space="preserve">https://www.travelers.com/resources/business-topics/workplace-safety</w:t>
        </w:r>
      </w:hyperlink>
    </w:p>
    <w:p>
      <w:pPr>
        <w:spacing w:before="20" w:after="20"/>
      </w:pPr>
      <w:r>
        <w:rPr>
          <w:b/>
        </w:rPr>
        <w:t xml:space="preserve">Travelers Training Library: </w:t>
      </w:r>
      <w:hyperlink r:id="rId12">
        <w:r>
          <w:rPr>
            <w:rStyle w:val="Hyperlink"/>
            <w:color w:val="0563C1"/>
            <w:u w:val="single"/>
          </w:rPr>
          <w:t xml:space="preserve">https://www.travelers.com/risk-control/safety-education-training</w:t>
        </w:r>
      </w:hyperlink>
    </w:p>
    <w:p>
      <w:pPr>
        <w:spacing w:before="20" w:after="20"/>
      </w:pPr>
      <w:r>
        <w:rPr>
          <w:b/>
        </w:rPr>
        <w:t xml:space="preserve">OSHA Reference: </w:t>
      </w:r>
      <w:hyperlink r:id="rId13">
        <w:r>
          <w:rPr>
            <w:rStyle w:val="Hyperlink"/>
            <w:color w:val="0563C1"/>
            <w:u w:val="single"/>
          </w:rPr>
          <w:t xml:space="preserve">https://www.osha.gov/construction</w:t>
        </w:r>
      </w:hyperlink>
    </w:p>
    <w:p>
      <w:pPr>
        <w:spacing w:before="20" w:after="20"/>
      </w:pPr>
      <w:r>
        <w:rPr>
          <w:b/>
        </w:rPr>
        <w:t xml:space="preserve">AGC Safety Resources: </w:t>
      </w:r>
      <w:hyperlink r:id="rId14">
        <w:r>
          <w:rPr>
            <w:rStyle w:val="Hyperlink"/>
            <w:color w:val="0563C1"/>
            <w:u w:val="single"/>
          </w:rPr>
          <w:t xml:space="preserve">https://www.agc.org/learn/education-training/safety-health</w:t>
        </w:r>
      </w:hyperlink>
    </w:p>
    <w:p>
      <w:pPr>
        <w:spacing w:before="20" w:after="20"/>
      </w:pPr>
      <w:r>
        <w:rPr>
          <w:b/>
        </w:rPr>
        <w:t xml:space="preserve">WISHA / WA L&amp;I: </w:t>
      </w:r>
      <w:hyperlink r:id="rId15">
        <w:r>
          <w:rPr>
            <w:rStyle w:val="Hyperlink"/>
            <w:color w:val="0563C1"/>
            <w:u w:val="single"/>
          </w:rPr>
          <w:t xml:space="preserve">https://lni.wa.gov/safety-health/</w:t>
        </w:r>
      </w:hyperlink>
    </w:p>
    <w:p>
      <w:pPr>
        <w:spacing w:before="30" w:after="30"/>
      </w:pPr>
      <w:r>
        <w:rPr>
          <w:i/>
          <w:color w:val="333333"/>
          <w:sz w:val="18"/>
        </w:rPr>
        <w:t>NOTE: WISHA citations apply only where WAC 296-155 is MORE STRINGENT than OSHA 29 CFR 1926.</w:t>
      </w:r>
    </w:p>
    <w:p>
      <w:pPr>
        <w:spacing w:before="20" w:after="20"/>
      </w:pPr>
      <w:r>
        <w:rPr>
          <w:b/>
        </w:rPr>
        <w:t xml:space="preserve">WA L&amp;I Workers Compensation: </w:t>
      </w:r>
      <w:hyperlink r:id="rId16">
        <w:r>
          <w:rPr>
            <w:rStyle w:val="Hyperlink"/>
            <w:color w:val="0563C1"/>
            <w:u w:val="single"/>
          </w:rPr>
          <w:t xml:space="preserve">https://lni.wa.gov/claims/</w:t>
        </w:r>
      </w:hyperlink>
    </w:p>
    <w:p>
      <w:pPr>
        <w:spacing w:before="20" w:after="20"/>
      </w:pPr>
      <w:r>
        <w:rPr>
          <w:b/>
        </w:rPr>
        <w:t xml:space="preserve">Travelers Workplace Safety: </w:t>
      </w:r>
      <w:hyperlink r:id="rId11">
        <w:r>
          <w:rPr>
            <w:rStyle w:val="Hyperlink"/>
            <w:color w:val="0563C1"/>
            <w:u w:val="single"/>
          </w:rPr>
          <w:t xml:space="preserve">https://www.travelers.com/resources/business-topics/workplace-safety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hyperlink" Target="https://www.osha.gov/construction" TargetMode="Externa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hyperlink" Target="https://www.travelers.com/risk-control/safety-education-training" TargetMode="Externa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hyperlink" Target="https://lni.wa.gov/claims/" TargetMode="Externa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www.travelers.com/resources/business-topics/workplace-safety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lni.wa.gov/safety-health/" TargetMode="Externa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s://www.agc.org/learn/education-training/safety-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1F71E2-1A52-414E-8EC7-E99CAFD8984E}"/>
</file>

<file path=customXml/itemProps3.xml><?xml version="1.0" encoding="utf-8"?>
<ds:datastoreItem xmlns:ds="http://schemas.openxmlformats.org/officeDocument/2006/customXml" ds:itemID="{9934B659-386E-4217-AC9A-475B88644F21}"/>
</file>

<file path=customXml/itemProps4.xml><?xml version="1.0" encoding="utf-8"?>
<ds:datastoreItem xmlns:ds="http://schemas.openxmlformats.org/officeDocument/2006/customXml" ds:itemID="{2F45BE7A-4841-4E3F-BB84-CAEA45AADB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