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3816"/>
      </w:tblGrid>
      <w:tr>
        <w:tc>
          <w:tcPr>
            <w:tcW w:type="dxa" w:w="4428"/>
            <w:shd w:val="clear" w:color="auto" w:fill="38685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MH Construction, Inc.</w:t>
            </w:r>
            <w:r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  3111 N. Capitol Ave., Pasco, WA 99301  |  (509) 308-6489</w:t>
            </w:r>
          </w:p>
        </w:tc>
        <w:tc>
          <w:tcPr>
            <w:tcW w:type="dxa" w:w="4428"/>
            <w:shd w:val="clear" w:color="auto" w:fill="386851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FORM 02-G</w:t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Rev 1.0  |  April 2026  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386851"/>
          <w:sz w:val="32"/>
        </w:rPr>
        <w:t>OSHA 300 LOG — ANNUAL SUMMARY COVER SHEET</w:t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Category: Safety Program — Regulatory  |  Aligned with AGC CSEA, OSHA 29 CFR 1926, WAC 296-155</w:t>
      </w:r>
    </w:p>
    <w:p>
      <w:pPr>
        <w:jc w:val="center"/>
      </w:pPr>
      <w:r>
        <w:rPr>
          <w:color w:val="BD92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color w:val="386851"/>
          <w:sz w:val="20"/>
        </w:rPr>
        <w:t>REVISION &amp;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4"/>
        <w:gridCol w:w="2214"/>
        <w:gridCol w:w="2214"/>
        <w:gridCol w:w="221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FORM 02-G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April 2026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Matt Ramsey, Safety Officer</w:t>
            </w:r>
          </w:p>
        </w:tc>
      </w:tr>
    </w:tbl>
    <w:p/>
    <w:p>
      <w:r>
        <w:rPr>
          <w:rFonts w:ascii="Arial" w:hAnsi="Arial"/>
          <w:color w:val="1A1A1A"/>
          <w:sz w:val="22"/>
        </w:rPr>
        <w:t>OSHA Form 300 (Log of Work-Related Injuries and Illnesses) must be maintained for each establishment. The OSHA 300A Annual Summary must be posted from February 1 through April 30 each year. Reference: OSHA 29 CFR 1904 | WAC 296-27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48"/>
        <w:gridCol w:w="5148"/>
      </w:tblGrid>
      <w:tr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Information</w:t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Establishment Name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MH Construction, Inc.</w:t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Address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3111 N. Capitol Ave., Pasco, WA 99301</w:t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Industry Description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Construction — General Contractor</w:t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NAICS Code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236220 / 238 series</w:t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Calendar Year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Annual Average Employees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Total Hours Worked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Total Recordable Cases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Cases with Days Away from Work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Cases with Job Transfer / Restriction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Other Recordable Cases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Total Days Away from Work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Total Days of Job Transfer / Restriction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Injuries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Skin Disorders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Respiratory Conditions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Poisonings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Hearing Loss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All Other Illnesses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>
      <w:pPr>
        <w:ind w:left="720"/>
      </w:pPr>
      <w:r>
        <w:rPr>
          <w:rFonts w:ascii="Arial" w:hAnsi="Arial"/>
          <w:color w:val="1A1A1A"/>
          <w:sz w:val="22"/>
        </w:rPr>
        <w:t>OSHA 300 Log and 300A Summary must be retained for 5 years. Download official forms at: https://www.osha.gov/recordkeeping/forms</w:t>
      </w:r>
    </w:p>
    <w:p/>
    <w:p>
      <w:r>
        <w:rPr>
          <w:rFonts w:ascii="Arial" w:hAnsi="Arial"/>
          <w:b/>
          <w:color w:val="386851"/>
          <w:sz w:val="22"/>
        </w:rPr>
        <w:t>SIGNATURES &amp; AUTHORIZATION</w:t>
      </w:r>
    </w:p>
    <w:p>
      <w:r>
        <w:rPr>
          <w:rFonts w:ascii="Arial" w:hAnsi="Arial"/>
          <w:i/>
          <w:color w:val="888888"/>
          <w:sz w:val="16"/>
        </w:rPr>
        <w:t>DocuSign Note: Each signature field below corresponds to a DocuSign recipient role. Assign roles before sending.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28"/>
        <w:gridCol w:w="4428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Safety Officer — Matt Ramsey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President — Jeremy Thamert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</w:tr>
    </w:tbl>
    <w:p/>
    <w:p>
      <w:pPr>
        <w:jc w:val="center"/>
      </w:pPr>
      <w:r>
        <w:rPr>
          <w:rFonts w:ascii="Arial" w:hAnsi="Arial"/>
          <w:i/>
          <w:color w:val="888888"/>
          <w:sz w:val="14"/>
        </w:rPr>
        <w:t>MH Construction, Inc.  |  3111 N. Capitol Ave., Pasco, WA 99301  |  (509) 308-6489  |  office@mhc-gc.com  |  www.mhc-gc.com  |  Veteran Owned</w:t>
      </w:r>
    </w:p>
    <w:sectPr w:rsidR="00FC693F" w:rsidRPr="0006063C" w:rsidSect="00034616">
      <w:pgSz w:w="12240" w:h="15840"/>
      <w:pgMar w:top="1440" w:right="1440" w:bottom="1224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52CB7C1-2047-4748-BC18-6ED928D06315}"/>
</file>

<file path=customXml/itemProps3.xml><?xml version="1.0" encoding="utf-8"?>
<ds:datastoreItem xmlns:ds="http://schemas.openxmlformats.org/officeDocument/2006/customXml" ds:itemID="{C35AA4F8-10E1-4A42-B7A2-210AAC215519}"/>
</file>

<file path=customXml/itemProps4.xml><?xml version="1.0" encoding="utf-8"?>
<ds:datastoreItem xmlns:ds="http://schemas.openxmlformats.org/officeDocument/2006/customXml" ds:itemID="{4520829B-A365-478F-BFF6-D47ACC7AFA1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