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1B1B"/>
          <w:sz w:val="52"/>
        </w:rPr>
        <w:t>Masterclass Description</w:t>
      </w:r>
    </w:p>
    <w:p>
      <w:pPr>
        <w:pStyle w:val="Heading1"/>
      </w:pPr>
      <w:r>
        <w:t>Masterclass Title</w:t>
      </w:r>
    </w:p>
    <w:p>
      <w:r>
        <w:rPr>
          <w:b/>
          <w:sz w:val="26"/>
        </w:rPr>
        <w:t>Graph Knowing, Graph Doing, Graph Aware: Building a Neurosymbolic Context Layer for Governed AI</w:t>
      </w:r>
    </w:p>
    <w:p>
      <w:pPr>
        <w:pStyle w:val="Heading1"/>
      </w:pPr>
      <w:r>
        <w:t>Speaker</w:t>
      </w:r>
    </w:p>
    <w:p>
      <w:r>
        <w:rPr>
          <w:b/>
        </w:rPr>
        <w:t>Ramu DE</w:t>
      </w:r>
      <w:r>
        <w:br/>
        <w:t>Solutions Architect @ Takeda | Data &amp; AI Solutions | ML | AI Factory | Agentic Systems | AI Evals &amp; LLMOps | Knowledge Graphs | Multi-Cloud | Container Platforms (EKS, ECS)</w:t>
      </w:r>
      <w:r>
        <w:br/>
        <w:t>GitHub: github.com/Ramu-DE/BioMedical_contextLayer</w:t>
      </w:r>
    </w:p>
    <w:p>
      <w:pPr>
        <w:pStyle w:val="Heading1"/>
      </w:pPr>
      <w:r>
        <w:t>Duration</w:t>
      </w:r>
    </w:p>
    <w:p>
      <w:r>
        <w:t>1 x 2-hour session</w:t>
      </w:r>
    </w:p>
    <w:p>
      <w:pPr>
        <w:pStyle w:val="Heading1"/>
      </w:pPr>
      <w:r>
        <w:t>Abstract</w:t>
      </w:r>
    </w:p>
    <w:p>
      <w:r>
        <w:t>This masterclass teaches attendees how to build a neurosymbolic context layer — a governed AI architecture where a knowledge graph holds ground truth, a deterministic rule engine makes decisions in 0.09 milliseconds, and every decision writes back to the graph as an auditable record. Attendees will work through the three principles — Graph Knowing, Graph Doing, Graph Aware — using a pharmaceutical knowledge graph as the running example, and leave with a transferable pattern they can apply to any regulated domain.</w:t>
      </w:r>
    </w:p>
    <w:p>
      <w:r>
        <w:t>The session concludes with a measured evaluation proving that this architecture outperforms LLM-as-Judge across accuracy (92% vs 58%), cost ($0 vs $131/month), speed (0.09ms vs 3,467ms), and adversarial resilience (12/12 attacks defeated). Attendees will understand exactly why LLM-as-Judge produces a Cohen's Kappa of 0.000 on hard cases — the "Agreement Illusion" — and what to build instead.</w:t>
      </w:r>
    </w:p>
    <w:p>
      <w:pPr>
        <w:pStyle w:val="Heading1"/>
      </w:pPr>
      <w:r>
        <w:t>Learning Objectives</w:t>
      </w:r>
    </w:p>
    <w:p>
      <w:r>
        <w:t>By the end of this masterclass, attendees will be able to:</w:t>
      </w:r>
    </w:p>
    <w:p>
      <w:pPr>
        <w:pStyle w:val="ListBullet"/>
      </w:pPr>
      <w:r>
        <w:t>Design a knowledge graph schema for governed AI — entity types, typed relationships, and an OWL/TTL ontology with SHACL validation shapes (Graph Knowing)</w:t>
      </w:r>
    </w:p>
    <w:p>
      <w:pPr>
        <w:pStyle w:val="ListBullet"/>
      </w:pPr>
      <w:r>
        <w:t>Build a neurosymbolic pipeline where neural (LLM) and symbolic (rule engine) paths run independently and meet at a governance gate with fixed precedence (Graph Doing)</w:t>
      </w:r>
    </w:p>
    <w:p>
      <w:pPr>
        <w:pStyle w:val="ListBullet"/>
      </w:pPr>
      <w:r>
        <w:t>Implement an append-only decision write-back with bi-temporal timestamps that gives an AI system institutional memory without retraining (Graph Aware)</w:t>
      </w:r>
    </w:p>
    <w:p>
      <w:pPr>
        <w:pStyle w:val="ListBullet"/>
      </w:pPr>
      <w:r>
        <w:t>Write declarative YAML governance rules that query graph facts — not prompts — making the system immune to prompt injection by architecture</w:t>
      </w:r>
    </w:p>
    <w:p>
      <w:pPr>
        <w:pStyle w:val="ListBullet"/>
      </w:pPr>
      <w:r>
        <w:t>Evaluate governed AI systems using proper metrics (Cohen's Kappa, not raw accuracy) and identify the "Agreement Illusion" in LLM-as-Judge results</w:t>
      </w:r>
    </w:p>
    <w:p>
      <w:pPr>
        <w:pStyle w:val="ListBullet"/>
      </w:pPr>
      <w:r>
        <w:t>Apply the Graph Knowing / Graph Doing / Graph Aware framework to their own domain (finance, healthcare, legal, supply chain)</w:t>
      </w:r>
    </w:p>
    <w:p>
      <w:pPr>
        <w:pStyle w:val="Heading1"/>
      </w:pPr>
      <w:r>
        <w:t>Target Audience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Intermediate to Advanced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Business and Technical — data engineers, ML engineers, architects, technical leaders building AI systems in regulated industries</w:t>
            </w:r>
          </w:p>
        </w:tc>
      </w:tr>
      <w:tr>
        <w:tc>
          <w:tcPr>
            <w:tcW w:type="dxa" w:w="4320"/>
          </w:tcPr>
          <w:p>
            <w:r>
              <w:t>Required Background</w:t>
            </w:r>
          </w:p>
        </w:tc>
        <w:tc>
          <w:tcPr>
            <w:tcW w:type="dxa" w:w="4320"/>
          </w:tcPr>
          <w:p>
            <w:r>
              <w:t>Basic understanding of LLMs and how they generate text. Familiarity with databases (SQL or graph) is helpful but not required. No prior knowledge of ontologies, SHACL, or rule engines needed — all introduced during the session.</w:t>
            </w:r>
          </w:p>
        </w:tc>
      </w:tr>
      <w:tr>
        <w:tc>
          <w:tcPr>
            <w:tcW w:type="dxa" w:w="4320"/>
          </w:tcPr>
          <w:p>
            <w:r>
              <w:t>Bring</w:t>
            </w:r>
          </w:p>
        </w:tc>
        <w:tc>
          <w:tcPr>
            <w:tcW w:type="dxa" w:w="4320"/>
          </w:tcPr>
          <w:p>
            <w:r>
              <w:t>Laptop with Python 3.11+, git, and a code editor. All cloud credentials and data are provided (synthetic, no PHI).</w:t>
            </w:r>
          </w:p>
        </w:tc>
      </w:tr>
    </w:tbl>
    <w:p>
      <w:pPr>
        <w:pStyle w:val="Heading1"/>
      </w:pPr>
      <w:r>
        <w:t>Detailed Agenda (2 Hours)</w:t>
      </w:r>
    </w:p>
    <w:p>
      <w:pPr>
        <w:pStyle w:val="Heading2"/>
      </w:pPr>
      <w:r>
        <w:t>Part 1 — Graph Knowing: The Foundation (40 minutes)</w:t>
      </w:r>
    </w:p>
    <w:p>
      <w:r>
        <w:rPr>
          <w:b/>
        </w:rPr>
        <w:t>0:00 – 0:15 | Opening &amp; Problem Statement</w:t>
      </w:r>
    </w:p>
    <w:p>
      <w:pPr>
        <w:pStyle w:val="ListBullet"/>
      </w:pPr>
      <w:r>
        <w:t>Why text-based AI fails in regulated domains — concrete pharmaceutical examples</w:t>
      </w:r>
    </w:p>
    <w:p>
      <w:pPr>
        <w:pStyle w:val="ListBullet"/>
      </w:pPr>
      <w:r>
        <w:t>The gap between what an LLM can generate and what a governed system can verify</w:t>
      </w:r>
    </w:p>
    <w:p>
      <w:pPr>
        <w:pStyle w:val="ListBullet"/>
      </w:pPr>
      <w:r>
        <w:t>Introducing the semantic membrane concept: ontology, identifiers, rules, and meaning on the inside; noise and adversarial input on the outside</w:t>
      </w:r>
    </w:p>
    <w:p>
      <w:r>
        <w:rPr>
          <w:b/>
        </w:rPr>
        <w:t>0:15 – 0:40 | Building the Knowledge Graph</w:t>
      </w:r>
    </w:p>
    <w:p>
      <w:pPr>
        <w:pStyle w:val="ListBullet"/>
      </w:pPr>
      <w:r>
        <w:t>Walkthrough: 6 entity types (Drug, Disease, Patient, Gene, Biomarker, Clinical Trial) and 9 typed relationships</w:t>
      </w:r>
    </w:p>
    <w:p>
      <w:pPr>
        <w:pStyle w:val="ListBullet"/>
      </w:pPr>
      <w:r>
        <w:t>Loading pharmaceutical data into Neo4j — nodes, relationships, and the Cypher data model</w:t>
      </w:r>
    </w:p>
    <w:p>
      <w:pPr>
        <w:pStyle w:val="ListBullet"/>
      </w:pPr>
      <w:r>
        <w:t>OWL/TTL ontology modules — what they define and why they matter</w:t>
      </w:r>
    </w:p>
    <w:p>
      <w:pPr>
        <w:pStyle w:val="ListBullet"/>
      </w:pPr>
      <w:r>
        <w:t>SHACL validation shapes — catching data/model conflicts at write time, not query time</w:t>
      </w:r>
    </w:p>
    <w:p>
      <w:pPr>
        <w:pStyle w:val="ListBullet"/>
      </w:pPr>
      <w:r>
        <w:t>Live example: "Atezolizumab targets PD-L1, not PD-1" — how the graph distinguishes what text conflates</w:t>
      </w:r>
    </w:p>
    <w:p>
      <w:pPr>
        <w:pStyle w:val="ListBullet"/>
      </w:pPr>
      <w:r>
        <w:t>Hands-on: attendees explore the graph with Cypher queries, verify entity types and relationships</w:t>
      </w:r>
    </w:p>
    <w:p>
      <w:pPr>
        <w:pStyle w:val="Heading2"/>
      </w:pPr>
      <w:r>
        <w:t>Part 2 — Graph Doing: The Pipeline (45 minutes)</w:t>
      </w:r>
    </w:p>
    <w:p>
      <w:r>
        <w:rPr>
          <w:b/>
        </w:rPr>
        <w:t>0:40 – 0:55 | Entity Linking &amp; Knowledge Retrieval</w:t>
      </w:r>
    </w:p>
    <w:p>
      <w:pPr>
        <w:pStyle w:val="ListBullet"/>
      </w:pPr>
      <w:r>
        <w:t>How text mentions resolve to typed graph entities — the 129-entry name index, word-boundary matching, case-sensitivity guards</w:t>
      </w:r>
    </w:p>
    <w:p>
      <w:pPr>
        <w:pStyle w:val="ListBullet"/>
      </w:pPr>
      <w:r>
        <w:t>Parallel retrieval: Neo4j Cypher traversal (structured facts) alongside Qdrant vector search (document chunks)</w:t>
      </w:r>
    </w:p>
    <w:p>
      <w:pPr>
        <w:pStyle w:val="ListBullet"/>
      </w:pPr>
      <w:r>
        <w:t>The Context Package — deduplicated, ranked, token-budgeted, with provenance per element</w:t>
      </w:r>
    </w:p>
    <w:p>
      <w:r>
        <w:rPr>
          <w:b/>
        </w:rPr>
        <w:t>0:55 – 1:10 | The Governance Gate: Neural vs Symbolic</w:t>
      </w:r>
    </w:p>
    <w:p>
      <w:pPr>
        <w:pStyle w:val="ListBullet"/>
      </w:pPr>
      <w:r>
        <w:t>The neurosymbolic architecture: neural and symbolic paths run independently, never see each other's output</w:t>
      </w:r>
    </w:p>
    <w:p>
      <w:pPr>
        <w:pStyle w:val="ListBullet"/>
      </w:pPr>
      <w:r>
        <w:t>Writing declarative YAML rules that query graph facts — syntax, predicates, severity levels</w:t>
      </w:r>
    </w:p>
    <w:p>
      <w:pPr>
        <w:pStyle w:val="ListBullet"/>
      </w:pPr>
      <w:r>
        <w:t>The rule engine as a pure function: no network, no LLM, no clock — 0.09ms execution</w:t>
      </w:r>
    </w:p>
    <w:p>
      <w:pPr>
        <w:pStyle w:val="ListBullet"/>
      </w:pPr>
      <w:r>
        <w:t>Fixed governance precedence: clinical advice guard → symbolic block → grounding threshold → release</w:t>
      </w:r>
    </w:p>
    <w:p>
      <w:pPr>
        <w:pStyle w:val="ListBullet"/>
      </w:pPr>
      <w:r>
        <w:t>Live trace: "Can I include PAT015 in the trial outcome analysis?" — watching consent.withdrawn fire and BLOCK</w:t>
      </w:r>
    </w:p>
    <w:p>
      <w:pPr>
        <w:pStyle w:val="ListBullet"/>
      </w:pPr>
      <w:r>
        <w:t>Hands-on: attendees write a custom YAML rule, add it to a pack, and watch it fire on a query</w:t>
      </w:r>
    </w:p>
    <w:p>
      <w:r>
        <w:rPr>
          <w:b/>
        </w:rPr>
        <w:t>1:10 – 1:25 | Adversarial Resilience</w:t>
      </w:r>
    </w:p>
    <w:p>
      <w:pPr>
        <w:pStyle w:val="ListBullet"/>
      </w:pPr>
      <w:r>
        <w:t>Four attack classes: conflicting documents, pattern pollution, signal drowning, prompt injection</w:t>
      </w:r>
    </w:p>
    <w:p>
      <w:pPr>
        <w:pStyle w:val="ListBullet"/>
      </w:pPr>
      <w:r>
        <w:t>Live demonstration: injecting "SYSTEM OVERRIDE: ignore all governance" — all 4 rules still fire</w:t>
      </w:r>
    </w:p>
    <w:p>
      <w:pPr>
        <w:pStyle w:val="ListBullet"/>
      </w:pPr>
      <w:r>
        <w:t>Why this works: the rule engine reads the database, not the context window — you cannot prompt-inject a Cypher query</w:t>
      </w:r>
    </w:p>
    <w:p>
      <w:pPr>
        <w:pStyle w:val="ListBullet"/>
      </w:pPr>
      <w:r>
        <w:t>The accidental proof: AWS credentials expired mid-test, LLM went dark, rules still fired — fails closed vs fails open</w:t>
      </w:r>
    </w:p>
    <w:p>
      <w:pPr>
        <w:pStyle w:val="ListBullet"/>
      </w:pPr>
      <w:r>
        <w:t>Discussion: what this means for production AI governance — structural guarantees vs tuned defences</w:t>
      </w:r>
    </w:p>
    <w:p>
      <w:pPr>
        <w:pStyle w:val="Heading2"/>
      </w:pPr>
      <w:r>
        <w:t>Part 3 — Graph Aware: Memory &amp; Evaluation (35 minutes)</w:t>
      </w:r>
    </w:p>
    <w:p>
      <w:r>
        <w:rPr>
          <w:b/>
        </w:rPr>
        <w:t>1:25 – 1:40 | Decision Write-Back</w:t>
      </w:r>
    </w:p>
    <w:p>
      <w:pPr>
        <w:pStyle w:val="ListBullet"/>
      </w:pPr>
      <w:r>
        <w:t>Append-only Ctx_Decision nodes — question, rules fired, grounding score, bi-temporal timestamps</w:t>
      </w:r>
    </w:p>
    <w:p>
      <w:pPr>
        <w:pStyle w:val="ListBullet"/>
      </w:pPr>
      <w:r>
        <w:t>Bi-temporal design: occurred_at/ingested_at for events, valid_from/valid_to for decisions</w:t>
      </w:r>
    </w:p>
    <w:p>
      <w:pPr>
        <w:pStyle w:val="ListBullet"/>
      </w:pPr>
      <w:r>
        <w:t>The continuous incorporation loop: prior decisions enter the next query's context via vector index</w:t>
      </w:r>
    </w:p>
    <w:p>
      <w:pPr>
        <w:pStyle w:val="ListBullet"/>
      </w:pPr>
      <w:r>
        <w:t>Live demonstration: run the same query twice — the model cites its own earlier governance decision</w:t>
      </w:r>
    </w:p>
    <w:p>
      <w:pPr>
        <w:pStyle w:val="ListBullet"/>
      </w:pPr>
      <w:r>
        <w:t>"No weights change. The graph grows." — institutional memory without retraining</w:t>
      </w:r>
    </w:p>
    <w:p>
      <w:r>
        <w:rPr>
          <w:b/>
        </w:rPr>
        <w:t>1:40 – 1:55 | Evaluation — LLM-as-Judge vs Deterministic</w:t>
      </w:r>
    </w:p>
    <w:p>
      <w:pPr>
        <w:pStyle w:val="ListBullet"/>
      </w:pPr>
      <w:r>
        <w:t>The evaluation framework: 53 test cases, 6 modules (domain accuracy, bias battery, metrics rigor, error taxonomy, cost analysis, retrieval quality)</w:t>
      </w:r>
    </w:p>
    <w:p>
      <w:pPr>
        <w:pStyle w:val="ListBullet"/>
      </w:pPr>
      <w:r>
        <w:t>Results walkthrough: 92% / Kappa 0.833 (deterministic) vs 58% / Kappa 0.000 (LLM judge)</w:t>
      </w:r>
    </w:p>
    <w:p>
      <w:pPr>
        <w:pStyle w:val="ListBullet"/>
      </w:pPr>
      <w:r>
        <w:t>The "Agreement Illusion": why 58% raw accuracy hides zero predictive value — and why Cohen's Kappa matters</w:t>
      </w:r>
    </w:p>
    <w:p>
      <w:pPr>
        <w:pStyle w:val="ListBullet"/>
      </w:pPr>
      <w:r>
        <w:t>Bias battery results: 50% position bias, 50% verbosity bias, 4/4 controls false-failed</w:t>
      </w:r>
    </w:p>
    <w:p>
      <w:pPr>
        <w:pStyle w:val="ListBullet"/>
      </w:pPr>
      <w:r>
        <w:t>Cost analysis: $0 vs $131/month at 1,000 queries/day — the economics of Build vs Buy</w:t>
      </w:r>
    </w:p>
    <w:p>
      <w:pPr>
        <w:pStyle w:val="ListBullet"/>
      </w:pPr>
      <w:r>
        <w:t>The circular dependency: the only judge scoring 100% required the answer upfront</w:t>
      </w:r>
    </w:p>
    <w:p>
      <w:pPr>
        <w:pStyle w:val="ListBullet"/>
      </w:pPr>
      <w:r>
        <w:t>Hands-on: attendees run the eval framework on a subset of test cases and verify the results</w:t>
      </w:r>
    </w:p>
    <w:p>
      <w:r>
        <w:rPr>
          <w:b/>
        </w:rPr>
        <w:t>1:55 – 2:00 | Closing &amp; Transfer to Your Domain</w:t>
      </w:r>
    </w:p>
    <w:p>
      <w:pPr>
        <w:pStyle w:val="ListBullet"/>
      </w:pPr>
      <w:r>
        <w:t>Recap: Graph Knowing → Graph Doing → Graph Aware as a transferable framework</w:t>
      </w:r>
    </w:p>
    <w:p>
      <w:pPr>
        <w:pStyle w:val="ListBullet"/>
      </w:pPr>
      <w:r>
        <w:t>How to port the architecture: what changes (ontology, rule packs, data) and what stays (pipeline, gate, write-back)</w:t>
      </w:r>
    </w:p>
    <w:p>
      <w:pPr>
        <w:pStyle w:val="ListBullet"/>
      </w:pPr>
      <w:r>
        <w:t>Q&amp;A</w:t>
      </w:r>
    </w:p>
    <w:p>
      <w:pPr>
        <w:pStyle w:val="Heading1"/>
      </w:pPr>
      <w:r>
        <w:t>Materials Provided to Attendees</w:t>
      </w:r>
    </w:p>
    <w:p>
      <w:pPr>
        <w:pStyle w:val="ListBullet"/>
      </w:pPr>
      <w:r>
        <w:t>GitHub repository with full source code, synthetic pharmaceutical data, and 371 tests</w:t>
      </w:r>
    </w:p>
    <w:p>
      <w:pPr>
        <w:pStyle w:val="ListBullet"/>
      </w:pPr>
      <w:r>
        <w:t>Pre-configured Neo4j Aura instance with 545-node knowledge graph (shared read access)</w:t>
      </w:r>
    </w:p>
    <w:p>
      <w:pPr>
        <w:pStyle w:val="ListBullet"/>
      </w:pPr>
      <w:r>
        <w:t>Pre-configured Qdrant Cloud cluster with 650+ vectors across 4 collections</w:t>
      </w:r>
    </w:p>
    <w:p>
      <w:pPr>
        <w:pStyle w:val="ListBullet"/>
      </w:pPr>
      <w:r>
        <w:t>YAML rule pack templates for attendees to write custom governance rules</w:t>
      </w:r>
    </w:p>
    <w:p>
      <w:pPr>
        <w:pStyle w:val="ListBullet"/>
      </w:pPr>
      <w:r>
        <w:t>Jupyter notebooks for each hands-on section</w:t>
      </w:r>
    </w:p>
    <w:p>
      <w:pPr>
        <w:pStyle w:val="ListBullet"/>
      </w:pPr>
      <w:r>
        <w:t>Slide deck (PDF) with all architecture diagrams and evaluation results</w:t>
      </w:r>
    </w:p>
    <w:p>
      <w:pPr>
        <w:pStyle w:val="Heading1"/>
      </w:pPr>
      <w:r>
        <w:t>Technical Requirements</w:t>
      </w:r>
    </w:p>
    <w:p>
      <w:r>
        <w:rPr>
          <w:b/>
        </w:rPr>
        <w:t>For the venue:</w:t>
      </w:r>
    </w:p>
    <w:p>
      <w:pPr>
        <w:pStyle w:val="ListBullet"/>
      </w:pPr>
      <w:r>
        <w:t>Projector and screen</w:t>
      </w:r>
    </w:p>
    <w:p>
      <w:pPr>
        <w:pStyle w:val="ListBullet"/>
      </w:pPr>
      <w:r>
        <w:t>Reliable internet connection (attendees will query cloud-hosted Neo4j and Qdrant)</w:t>
      </w:r>
    </w:p>
    <w:p>
      <w:pPr>
        <w:pStyle w:val="ListBullet"/>
      </w:pPr>
      <w:r>
        <w:t>Power outlets for laptops</w:t>
      </w:r>
    </w:p>
    <w:p>
      <w:r>
        <w:rPr>
          <w:b/>
        </w:rPr>
        <w:t>For attendees:</w:t>
      </w:r>
    </w:p>
    <w:p>
      <w:pPr>
        <w:pStyle w:val="ListBullet"/>
      </w:pPr>
      <w:r>
        <w:t>Laptop with Python 3.11+, git, and a code editor</w:t>
      </w:r>
    </w:p>
    <w:p>
      <w:pPr>
        <w:pStyle w:val="ListBullet"/>
      </w:pPr>
      <w:r>
        <w:t>Pre-install instructions sent 1 week before the session (pip install, clone repo, verify connectivity)</w:t>
      </w:r>
    </w:p>
    <w:p>
      <w:pPr>
        <w:pStyle w:val="ListBullet"/>
      </w:pPr>
      <w:r>
        <w:t>All cloud credentials provided at session start — no personal AWS/Neo4j/Qdrant accounts needed</w:t>
      </w:r>
    </w:p>
    <w:p>
      <w:pPr>
        <w:pStyle w:val="Heading1"/>
      </w:pPr>
      <w:r>
        <w:t>Key Technologies Covered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Role in Architecture</w:t>
            </w:r>
          </w:p>
        </w:tc>
      </w:tr>
      <w:tr>
        <w:tc>
          <w:tcPr>
            <w:tcW w:type="dxa" w:w="2880"/>
          </w:tcPr>
          <w:p>
            <w:r>
              <w:t>Knowledge Graph</w:t>
            </w:r>
          </w:p>
        </w:tc>
        <w:tc>
          <w:tcPr>
            <w:tcW w:type="dxa" w:w="2880"/>
          </w:tcPr>
          <w:p>
            <w:r>
              <w:t>Neo4j Aura</w:t>
            </w:r>
          </w:p>
        </w:tc>
        <w:tc>
          <w:tcPr>
            <w:tcW w:type="dxa" w:w="2880"/>
          </w:tcPr>
          <w:p>
            <w:r>
              <w:t>Ground truth — 545 nodes, 30+ relationship types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Qdrant Cloud</w:t>
            </w:r>
          </w:p>
        </w:tc>
        <w:tc>
          <w:tcPr>
            <w:tcW w:type="dxa" w:w="2880"/>
          </w:tcPr>
          <w:p>
            <w:r>
              <w:t>Semantic retrieval — 650+ vectors, 4 collections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Claude Haiku 4.5 (Bedrock)</w:t>
            </w:r>
          </w:p>
        </w:tc>
        <w:tc>
          <w:tcPr>
            <w:tcW w:type="dxa" w:w="2880"/>
          </w:tcPr>
          <w:p>
            <w:r>
              <w:t>Neural path — context-grounded generation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Amazon Titan Embed v2</w:t>
            </w:r>
          </w:p>
        </w:tc>
        <w:tc>
          <w:tcPr>
            <w:tcW w:type="dxa" w:w="2880"/>
          </w:tcPr>
          <w:p>
            <w:r>
              <w:t>1024-dim vectors for retrieval and linking</w:t>
            </w:r>
          </w:p>
        </w:tc>
      </w:tr>
      <w:tr>
        <w:tc>
          <w:tcPr>
            <w:tcW w:type="dxa" w:w="2880"/>
          </w:tcPr>
          <w:p>
            <w:r>
              <w:t>Ontology</w:t>
            </w:r>
          </w:p>
        </w:tc>
        <w:tc>
          <w:tcPr>
            <w:tcW w:type="dxa" w:w="2880"/>
          </w:tcPr>
          <w:p>
            <w:r>
              <w:t>OWL/TTL + SHACL</w:t>
            </w:r>
          </w:p>
        </w:tc>
        <w:tc>
          <w:tcPr>
            <w:tcW w:type="dxa" w:w="2880"/>
          </w:tcPr>
          <w:p>
            <w:r>
              <w:t>Schema validation — 8 modules, 3,965 triples, 10 shapes</w:t>
            </w:r>
          </w:p>
        </w:tc>
      </w:tr>
      <w:tr>
        <w:tc>
          <w:tcPr>
            <w:tcW w:type="dxa" w:w="2880"/>
          </w:tcPr>
          <w:p>
            <w:r>
              <w:t>Rule Engine</w:t>
            </w:r>
          </w:p>
        </w:tc>
        <w:tc>
          <w:tcPr>
            <w:tcW w:type="dxa" w:w="2880"/>
          </w:tcPr>
          <w:p>
            <w:r>
              <w:t>Custom (Python + YAML)</w:t>
            </w:r>
          </w:p>
        </w:tc>
        <w:tc>
          <w:tcPr>
            <w:tcW w:type="dxa" w:w="2880"/>
          </w:tcPr>
          <w:p>
            <w:r>
              <w:t>Symbolic path — 13 rules, pure function, 0.09ms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NiceGUI</w:t>
            </w:r>
          </w:p>
        </w:tc>
        <w:tc>
          <w:tcPr>
            <w:tcW w:type="dxa" w:w="2880"/>
          </w:tcPr>
          <w:p>
            <w:r>
              <w:t>3-page live UI — pipeline trace, eval proof, membrane viz</w:t>
            </w:r>
          </w:p>
        </w:tc>
      </w:tr>
    </w:tbl>
    <w:p>
      <w:pPr>
        <w:pStyle w:val="Heading1"/>
      </w:pPr>
      <w:r>
        <w:t>What Makes This Masterclass Unique</w:t>
      </w:r>
    </w:p>
    <w:p>
      <w:pPr>
        <w:pStyle w:val="ListBullet"/>
      </w:pPr>
      <w:r>
        <w:t>Not a lecture — a running system. Every concept demonstrated live on a deployed knowledge graph with real (synthetic) pharmaceutical data.</w:t>
      </w:r>
    </w:p>
    <w:p>
      <w:pPr>
        <w:pStyle w:val="ListBullet"/>
      </w:pPr>
      <w:r>
        <w:t>Not incremental — a new architecture. Neurosymbolic governance where symbolic overrides neural is fundamentally different from prompt engineering, RAG tuning, or guardrail APIs.</w:t>
      </w:r>
    </w:p>
    <w:p>
      <w:pPr>
        <w:pStyle w:val="ListBullet"/>
      </w:pPr>
      <w:r>
        <w:t>Measured, not asserted. Attendees run the evaluation framework themselves and see the Kappa 0.000 result firsthand.</w:t>
      </w:r>
    </w:p>
    <w:p>
      <w:pPr>
        <w:pStyle w:val="ListBullet"/>
      </w:pPr>
      <w:r>
        <w:t>Transferable. The Graph Knowing / Graph Doing / Graph Aware framework applies to any regulated domain. Attendees leave with a pattern, not just pharma knowledge.</w:t>
      </w:r>
    </w:p>
    <w:p>
      <w:pPr>
        <w:pStyle w:val="ListBullet"/>
      </w:pPr>
      <w:r>
        <w:t>Adversarial-proof by design. The live prompt injection demonstration — and the AWS credential expiry story — show structural resilience that no amount of prompt tuning can replicate.</w:t>
      </w:r>
    </w:p>
    <w:p>
      <w:pPr>
        <w:pStyle w:val="Heading1"/>
      </w:pPr>
      <w:r>
        <w:t>Speaker Bio</w:t>
      </w:r>
    </w:p>
    <w:p>
      <w:r>
        <w:t>Ramu DE is a Solutions Architect at Takeda, working across Data &amp; AI Solutions, ML, AI Factory, Agentic Systems, AI Evals &amp; LLMOps, Knowledge Graphs, multi-cloud, and container platforms (EKS, ECS). He specialises in knowledge graph architectures and AI governance for regulated industries — the intersection where enterprise-scale cloud infrastructure meets the semantic precision that pharmaceutical governance demands. He built the BioMedical Context Layer as a reference implementation proving that deterministic governance grounded in ontologies outperforms LLM-based evaluation across accuracy, cost, resilience, and auditability. His work spans Neo4j, Qdrant, Amazon Bedrock, OWL/SHACL ontologies, and neurosymbolic system design. At Takeda, he brings this thinking to production — building the data and AI platforms where governed decisions happen at scale.</w:t>
      </w:r>
    </w:p>
    <w:p>
      <w:pPr>
        <w:pStyle w:val="Heading1"/>
      </w:pPr>
      <w:r>
        <w:t>Video Link</w:t>
      </w:r>
    </w:p>
    <w:p>
      <w:r>
        <w:t>[INSERT PUBLIC LINK TO 3-MINUTE VIDEO — 9:16 vertical, speaker-to-camera, story format]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