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comments.xml" ContentType="application/vnd.openxmlformats-officedocument.wordprocessingml.comment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Hamel Husain's Complete Body of Work on AI Evaluation</w:t>
      </w:r>
    </w:p>
    <w:p>
      <w:pPr>
        <w:pStyle w:val="DocSubtitle"/>
      </w:pPr>
      <w:r>
        <w:t xml:space="preserve">A Comprehensive Guide for AI/ML Practitioners and Leadership</w:t>
      </w:r>
    </w:p>
    <w:p>
      <w:pPr>
        <w:spacing w:after="80" w:before="80"/>
        <w:jc w:val="center"/>
      </w:pPr>
      <w:r>
        <w:rPr>
          <w:rFonts w:ascii="Calibri" w:cs="Calibri" w:eastAsia="Calibri" w:hAnsi="Calibri"/>
          <w:i/>
          <w:iCs/>
          <w:color w:val="666666"/>
          <w:sz w:val="20"/>
          <w:szCs w:val="20"/>
        </w:rPr>
        <w:t>Based on industry research and practitioner frameworks</w:t>
      </w:r>
    </w:p>
    <w:p>
      <w:pPr>
        <w:spacing w:after="400" w:before="60"/>
        <w:jc w:val="center"/>
      </w:pPr>
      <w:r>
        <w:rPr>
          <w:rFonts w:ascii="Calibri" w:cs="Calibri" w:eastAsia="Calibri" w:hAnsi="Calibri"/>
          <w:color w:val="999999"/>
          <w:sz w:val="20"/>
          <w:szCs w:val="20"/>
        </w:rPr>
        <w:t xml:space="preserve">August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single" w:color="C5D8EC" w:sz="4"/>
            </w:tcBorders>
            <w:shd w:fill="EEF3F8" w:val="clear"/>
          </w:tcPr>
          <w:p>
            <w:pPr>
              <w:spacing w:after="40" w:before="120"/>
              <w:jc w:val="center"/>
            </w:pPr>
            <w:r>
              <w:rPr>
                <w:rFonts w:ascii="Calibri" w:cs="Calibri" w:eastAsia="Calibri" w:hAnsi="Calibri"/>
                <w:b/>
                <w:bCs/>
                <w:color w:val="1A3A5C"/>
                <w:sz w:val="40"/>
                <w:szCs w:val="40"/>
              </w:rPr>
              <w:t xml:space="preserve">20+</w:t>
            </w:r>
          </w:p>
          <w:p>
            <w:pPr>
              <w:spacing w:after="120" w:before="0"/>
              <w:jc w:val="center"/>
            </w:pPr>
            <w:r>
              <w:rPr>
                <w:rFonts w:ascii="Calibri" w:cs="Calibri" w:eastAsia="Calibri" w:hAnsi="Calibri"/>
                <w:color w:val="666666"/>
                <w:sz w:val="18"/>
                <w:szCs w:val="18"/>
              </w:rPr>
              <w:t xml:space="preserve">Years ML Engineering</w:t>
            </w:r>
          </w:p>
        </w:tc>
        <w:tc>
          <w:tcPr>
            <w:tcW w:type="dxa" w:w="2340"/>
            <w:tcBorders>
              <w:top w:val="none" w:color="FFFFFF" w:sz="0"/>
              <w:left w:val="none" w:color="FFFFFF" w:sz="0"/>
              <w:bottom w:val="none" w:color="FFFFFF" w:sz="0"/>
              <w:right w:val="single" w:color="C5D8EC" w:sz="4"/>
            </w:tcBorders>
            <w:shd w:fill="EEF3F8" w:val="clear"/>
          </w:tcPr>
          <w:p>
            <w:pPr>
              <w:spacing w:after="40" w:before="120"/>
              <w:jc w:val="center"/>
            </w:pPr>
            <w:r>
              <w:rPr>
                <w:rFonts w:ascii="Calibri" w:cs="Calibri" w:eastAsia="Calibri" w:hAnsi="Calibri"/>
                <w:b/>
                <w:bCs/>
                <w:color w:val="1A3A5C"/>
                <w:sz w:val="40"/>
                <w:szCs w:val="40"/>
              </w:rPr>
              <w:t xml:space="preserve">4,500+</w:t>
            </w:r>
          </w:p>
          <w:p>
            <w:pPr>
              <w:spacing w:after="120" w:before="0"/>
              <w:jc w:val="center"/>
            </w:pPr>
            <w:r>
              <w:rPr>
                <w:rFonts w:ascii="Calibri" w:cs="Calibri" w:eastAsia="Calibri" w:hAnsi="Calibri"/>
                <w:color w:val="666666"/>
                <w:sz w:val="18"/>
                <w:szCs w:val="18"/>
              </w:rPr>
              <w:t xml:space="preserve">Students Trained</w:t>
            </w:r>
          </w:p>
        </w:tc>
        <w:tc>
          <w:tcPr>
            <w:tcW w:type="dxa" w:w="2340"/>
            <w:tcBorders>
              <w:top w:val="none" w:color="FFFFFF" w:sz="0"/>
              <w:left w:val="none" w:color="FFFFFF" w:sz="0"/>
              <w:bottom w:val="none" w:color="FFFFFF" w:sz="0"/>
              <w:right w:val="single" w:color="C5D8EC" w:sz="4"/>
            </w:tcBorders>
            <w:shd w:fill="EEF3F8" w:val="clear"/>
          </w:tcPr>
          <w:p>
            <w:pPr>
              <w:spacing w:after="40" w:before="120"/>
              <w:jc w:val="center"/>
            </w:pPr>
            <w:r>
              <w:rPr>
                <w:rFonts w:ascii="Calibri" w:cs="Calibri" w:eastAsia="Calibri" w:hAnsi="Calibri"/>
                <w:b/>
                <w:bCs/>
                <w:color w:val="1A3A5C"/>
                <w:sz w:val="40"/>
                <w:szCs w:val="40"/>
              </w:rPr>
              <w:t xml:space="preserve">500+</w:t>
            </w:r>
          </w:p>
          <w:p>
            <w:pPr>
              <w:spacing w:after="120" w:before="0"/>
              <w:jc w:val="center"/>
            </w:pPr>
            <w:r>
              <w:rPr>
                <w:rFonts w:ascii="Calibri" w:cs="Calibri" w:eastAsia="Calibri" w:hAnsi="Calibri"/>
                <w:color w:val="666666"/>
                <w:sz w:val="18"/>
                <w:szCs w:val="18"/>
              </w:rPr>
              <w:t xml:space="preserve">Companies</w:t>
            </w:r>
          </w:p>
        </w:tc>
        <w:tc>
          <w:tcPr>
            <w:tcW w:type="dxa" w:w="2340"/>
            <w:tcBorders>
              <w:top w:val="none" w:color="FFFFFF" w:sz="0"/>
              <w:left w:val="none" w:color="FFFFFF" w:sz="0"/>
              <w:bottom w:val="none" w:color="FFFFFF" w:sz="0"/>
              <w:right w:val="none" w:color="FFFFFF" w:sz="0"/>
            </w:tcBorders>
            <w:shd w:fill="EEF3F8" w:val="clear"/>
          </w:tcPr>
          <w:p>
            <w:pPr>
              <w:spacing w:after="40" w:before="120"/>
              <w:jc w:val="center"/>
            </w:pPr>
            <w:r>
              <w:rPr>
                <w:rFonts w:ascii="Calibri" w:cs="Calibri" w:eastAsia="Calibri" w:hAnsi="Calibri"/>
                <w:b/>
                <w:bCs/>
                <w:color w:val="1A3A5C"/>
                <w:sz w:val="40"/>
                <w:szCs w:val="40"/>
              </w:rPr>
              <w:t xml:space="preserve">13</w:t>
            </w:r>
          </w:p>
          <w:p>
            <w:pPr>
              <w:spacing w:after="120" w:before="0"/>
              <w:jc w:val="center"/>
            </w:pPr>
            <w:r>
              <w:rPr>
                <w:rFonts w:ascii="Calibri" w:cs="Calibri" w:eastAsia="Calibri" w:hAnsi="Calibri"/>
                <w:color w:val="666666"/>
                <w:sz w:val="18"/>
                <w:szCs w:val="18"/>
              </w:rPr>
              <w:t xml:space="preserve">Key Works Analyzed</w:t>
            </w:r>
          </w:p>
        </w:tc>
      </w:tr>
    </w:tbl>
    <w:p>
      <w:pPr>
        <w:spacing w:after="0" w:before="200"/>
      </w:pPr>
      <w:r>
        <w:t xml:space="preserve"/>
      </w:r>
    </w:p>
    <w:p>
      <w:r>
        <w:br w:type="page"/>
      </w:r>
    </w:p>
    <w:p>
      <w:pPr>
        <w:pStyle w:val="SectionLabel"/>
      </w:pPr>
      <w:r>
        <w:t xml:space="preserve">Section 1</w:t>
      </w:r>
    </w:p>
    <w:p>
      <w:pPr>
        <w:pStyle w:val="Heading1"/>
      </w:pPr>
      <w:r>
        <w:t xml:space="preserve">Introduction: Hamel Husain and the Evals Movement</w:t>
      </w:r>
    </w:p>
    <w:p>
      <w:pPr>
        <w:pStyle w:val="BodyText"/>
      </w:pPr>
      <w:r>
        <w:rPr>
          <w:rFonts w:ascii="Calibri" w:cs="Calibri" w:eastAsia="Calibri" w:hAnsi="Calibri"/>
          <w:color w:val="2D2D2D"/>
          <w:sz w:val="22"/>
          <w:szCs w:val="22"/>
        </w:rPr>
        <w:t xml:space="preserve">In the fast-moving world of applied AI, few voices carry more practical authority than Hamel Husain. With over two decades of machine learning engineering experience spanning production deployments at Airbnb, GitHub, and a wide range of enterprise AI products, Husain has emerged as the foremost practitioner-evangelist for rigorous AI evaluation. His work is not theoretical — it is forged in the heat of real systems that failed, improved, and ultimately shipped better products because of disciplined evaluation practices.</w:t>
      </w:r>
    </w:p>
    <w:p>
      <w:pPr>
        <w:pStyle w:val="Heading2"/>
      </w:pPr>
      <w:r>
        <w:t xml:space="preserve">Background and Professional Trajectory</w:t>
      </w:r>
    </w:p>
    <w:p>
      <w:pPr>
        <w:pStyle w:val="BodyText"/>
      </w:pPr>
      <w:r>
        <w:rPr>
          <w:rFonts w:ascii="Calibri" w:cs="Calibri" w:eastAsia="Calibri" w:hAnsi="Calibri"/>
          <w:color w:val="2D2D2D"/>
          <w:sz w:val="22"/>
          <w:szCs w:val="22"/>
        </w:rPr>
        <w:t xml:space="preserve">Husain's career arc is remarkable for its consistency of purpose. At Airbnb, he built ML pipelines for search and pricing optimization. At GitHub, he led the development of </w:t>
      </w:r>
      <w:r>
        <w:rPr>
          <w:rFonts w:ascii="Calibri" w:cs="Calibri" w:eastAsia="Calibri" w:hAnsi="Calibri"/>
          <w:b/>
          <w:bCs/>
          <w:color w:val="1A3A5C"/>
          <w:sz w:val="22"/>
          <w:szCs w:val="22"/>
        </w:rPr>
        <w:t xml:space="preserve">CodeSearchNet</w:t>
      </w:r>
      <w:r>
        <w:rPr>
          <w:rFonts w:ascii="Calibri" w:cs="Calibri" w:eastAsia="Calibri" w:hAnsi="Calibri"/>
          <w:color w:val="2D2D2D"/>
          <w:sz w:val="22"/>
          <w:szCs w:val="22"/>
        </w:rPr>
        <w:t xml:space="preserve"> — a dataset and challenge that became a foundational precursor to GitHub Copilot, one of the most commercially successful AI products ever deployed. This work gave him early, hard-won insight into a truth that would define his subsequent thinking: </w:t>
      </w:r>
      <w:r>
        <w:rPr>
          <w:rFonts w:ascii="Calibri" w:cs="Calibri" w:eastAsia="Calibri" w:hAnsi="Calibri"/>
          <w:b/>
          <w:bCs/>
          <w:color w:val="1A3A5C"/>
          <w:sz w:val="22"/>
          <w:szCs w:val="22"/>
        </w:rPr>
        <w:t xml:space="preserve">the quality of your evaluation methodology determines the quality of your product.</w:t>
      </w:r>
    </w:p>
    <w:p>
      <w:pPr>
        <w:pStyle w:val="BodyText"/>
      </w:pPr>
      <w:r>
        <w:rPr>
          <w:rFonts w:ascii="Calibri" w:cs="Calibri" w:eastAsia="Calibri" w:hAnsi="Calibri"/>
          <w:color w:val="2D2D2D"/>
          <w:sz w:val="22"/>
          <w:szCs w:val="22"/>
        </w:rPr>
        <w:t xml:space="preserve">Today, Husain co-teaches the AI Evals for Engineers and PMs course, which has enrolled over 4,500 students from more than 500 organizations, including OpenAI, Anthropic, and Google. The course, structured around practical frameworks rather than academic theory, reflects his central philosophy: "Bring data science back to AI." This means moving beyond vibes-based development — building AI products by showing demos to stakeholders — and toward the systematic practice of debugging, analyzing, and measuring AI system behavior.</w:t>
      </w:r>
    </w:p>
    <w:p>
      <w:pPr>
        <w:pStyle w:val="Heading2"/>
      </w:pPr>
      <w:r>
        <w:t xml:space="preserve">The Central Philosophy: Evals as the Highest-Leverage Activity</w:t>
      </w:r>
    </w:p>
    <w:p>
      <w:pPr>
        <w:pStyle w:val="BodyText"/>
      </w:pPr>
      <w:r>
        <w:rPr>
          <w:rFonts w:ascii="Calibri" w:cs="Calibri" w:eastAsia="Calibri" w:hAnsi="Calibri"/>
          <w:color w:val="2D2D2D"/>
          <w:sz w:val="22"/>
          <w:szCs w:val="22"/>
        </w:rPr>
        <w:t xml:space="preserve">Husain's body of work argues, consistently and forcefully, that evaluation systems are the single highest-leverage investment any AI team can make. This thesis might appear obvious to engineers trained in traditional software testing — where unit tests, integration tests, and CI/CD pipelines are non-negotiable — but in the AI space, it remains provocatively contrarian. Teams under pressure to ship, dazzled by demo performance, and confused about what "good" even means for their LLM outputs routinely skip evaluation infrastructure entirely.</w:t>
      </w:r>
    </w:p>
    <w:p>
      <w:pPr>
        <w:pStyle w:val="BodyText"/>
      </w:pPr>
      <w:r>
        <w:rPr>
          <w:rFonts w:ascii="Calibri" w:cs="Calibri" w:eastAsia="Calibri" w:hAnsi="Calibri"/>
          <w:color w:val="2D2D2D"/>
          <w:sz w:val="22"/>
          <w:szCs w:val="22"/>
        </w:rPr>
        <w:t xml:space="preserve">The result, Husain argues, is predictable: teams cannot distinguish between lucky demos and reliable systems. They cannot measure whether a change made things better or worse. They cannot identify the specific failure patterns that need to be fixed. They are, in effect, flying blind — and LLM judges used without proper validation only add a false sense of instrumentation while the aircraft remains without a working altimeter.</w:t>
      </w:r>
    </w:p>
    <w:p>
      <w:pPr>
        <w:pStyle w:val="Heading2"/>
      </w:pPr>
      <w:r>
        <w:t xml:space="preserve">Document Scope and Structure</w:t>
      </w:r>
    </w:p>
    <w:p>
      <w:pPr>
        <w:pStyle w:val="BodyText"/>
      </w:pPr>
      <w:r>
        <w:rPr>
          <w:rFonts w:ascii="Calibri" w:cs="Calibri" w:eastAsia="Calibri" w:hAnsi="Calibri"/>
          <w:color w:val="2D2D2D"/>
          <w:sz w:val="22"/>
          <w:szCs w:val="22"/>
        </w:rPr>
        <w:t xml:space="preserve">This document synthesizes and expands each of Husain's thirteen major works on AI evaluation into deeply researched chapters. Each chapter traces the argument of the original blog post, situates it within Husain's broader philosophical framework, and enriches it with evidence from the accompanying research report on the limitations of LLM-as-a-Judge evaluation. The thirteen sections are:</w:t>
      </w:r>
    </w:p>
    <w:p>
      <w:pPr>
        <w:pStyle w:val="ListParagraph"/>
        <w:numPr>
          <w:ilvl w:val="0"/>
          <w:numId w:val="2"/>
        </w:numPr>
      </w:pPr>
      <w:r>
        <w:rPr>
          <w:rFonts w:ascii="Calibri" w:cs="Calibri" w:eastAsia="Calibri" w:hAnsi="Calibri"/>
          <w:color w:val="2D2D2D"/>
          <w:sz w:val="22"/>
          <w:szCs w:val="22"/>
        </w:rPr>
        <w:t xml:space="preserve">Your AI Product Needs Evals (March 2024)</w:t>
      </w:r>
    </w:p>
    <w:p>
      <w:pPr>
        <w:pStyle w:val="ListParagraph"/>
        <w:numPr>
          <w:ilvl w:val="0"/>
          <w:numId w:val="2"/>
        </w:numPr>
      </w:pPr>
      <w:r>
        <w:rPr>
          <w:rFonts w:ascii="Calibri" w:cs="Calibri" w:eastAsia="Calibri" w:hAnsi="Calibri"/>
          <w:color w:val="2D2D2D"/>
          <w:sz w:val="22"/>
          <w:szCs w:val="22"/>
        </w:rPr>
        <w:t xml:space="preserve">What We've Learned From A Year of Building with LLMs (June 2024)</w:t>
      </w:r>
    </w:p>
    <w:p>
      <w:pPr>
        <w:pStyle w:val="ListParagraph"/>
        <w:numPr>
          <w:ilvl w:val="0"/>
          <w:numId w:val="2"/>
        </w:numPr>
      </w:pPr>
      <w:r>
        <w:rPr>
          <w:rFonts w:ascii="Calibri" w:cs="Calibri" w:eastAsia="Calibri" w:hAnsi="Calibri"/>
          <w:color w:val="2D2D2D"/>
          <w:sz w:val="22"/>
          <w:szCs w:val="22"/>
        </w:rPr>
        <w:t xml:space="preserve">Using LLM-as-a-Judge For Evaluation: A Complete Guide (October 2024)</w:t>
      </w:r>
    </w:p>
    <w:p>
      <w:pPr>
        <w:pStyle w:val="ListParagraph"/>
        <w:numPr>
          <w:ilvl w:val="0"/>
          <w:numId w:val="2"/>
        </w:numPr>
      </w:pPr>
      <w:r>
        <w:rPr>
          <w:rFonts w:ascii="Calibri" w:cs="Calibri" w:eastAsia="Calibri" w:hAnsi="Calibri"/>
          <w:color w:val="2D2D2D"/>
          <w:sz w:val="22"/>
          <w:szCs w:val="22"/>
        </w:rPr>
        <w:t xml:space="preserve">A Field Guide to Rapidly Improving AI Products (March 2025)</w:t>
      </w:r>
    </w:p>
    <w:p>
      <w:pPr>
        <w:pStyle w:val="ListParagraph"/>
        <w:numPr>
          <w:ilvl w:val="0"/>
          <w:numId w:val="2"/>
        </w:numPr>
      </w:pPr>
      <w:r>
        <w:rPr>
          <w:rFonts w:ascii="Calibri" w:cs="Calibri" w:eastAsia="Calibri" w:hAnsi="Calibri"/>
          <w:color w:val="2D2D2D"/>
          <w:sz w:val="22"/>
          <w:szCs w:val="22"/>
        </w:rPr>
        <w:t xml:space="preserve">AI Evals: Everything You Need to Know (May 2025)</w:t>
      </w:r>
    </w:p>
    <w:p>
      <w:pPr>
        <w:pStyle w:val="ListParagraph"/>
        <w:numPr>
          <w:ilvl w:val="0"/>
          <w:numId w:val="2"/>
        </w:numPr>
      </w:pPr>
      <w:r>
        <w:rPr>
          <w:rFonts w:ascii="Calibri" w:cs="Calibri" w:eastAsia="Calibri" w:hAnsi="Calibri"/>
          <w:color w:val="2D2D2D"/>
          <w:sz w:val="22"/>
          <w:szCs w:val="22"/>
        </w:rPr>
        <w:t xml:space="preserve">Stop Saying RAG Is Dead (July 2025)</w:t>
      </w:r>
    </w:p>
    <w:p>
      <w:pPr>
        <w:pStyle w:val="ListParagraph"/>
        <w:numPr>
          <w:ilvl w:val="0"/>
          <w:numId w:val="2"/>
        </w:numPr>
      </w:pPr>
      <w:r>
        <w:rPr>
          <w:rFonts w:ascii="Calibri" w:cs="Calibri" w:eastAsia="Calibri" w:hAnsi="Calibri"/>
          <w:color w:val="2D2D2D"/>
          <w:sz w:val="22"/>
          <w:szCs w:val="22"/>
        </w:rPr>
        <w:t xml:space="preserve">Evals Skills for Coding Agents (March 2026)</w:t>
      </w:r>
    </w:p>
    <w:p>
      <w:pPr>
        <w:pStyle w:val="ListParagraph"/>
        <w:numPr>
          <w:ilvl w:val="0"/>
          <w:numId w:val="2"/>
        </w:numPr>
      </w:pPr>
      <w:r>
        <w:rPr>
          <w:rFonts w:ascii="Calibri" w:cs="Calibri" w:eastAsia="Calibri" w:hAnsi="Calibri"/>
          <w:color w:val="2D2D2D"/>
          <w:sz w:val="22"/>
          <w:szCs w:val="22"/>
        </w:rPr>
        <w:t xml:space="preserve">"It's Hard to Eval" Is a Product Smell (June 2026)</w:t>
      </w:r>
    </w:p>
    <w:p>
      <w:pPr>
        <w:pStyle w:val="ListParagraph"/>
        <w:numPr>
          <w:ilvl w:val="0"/>
          <w:numId w:val="2"/>
        </w:numPr>
      </w:pPr>
      <w:r>
        <w:rPr>
          <w:rFonts w:ascii="Calibri" w:cs="Calibri" w:eastAsia="Calibri" w:hAnsi="Calibri"/>
          <w:color w:val="2D2D2D"/>
          <w:sz w:val="22"/>
          <w:szCs w:val="22"/>
        </w:rPr>
        <w:t xml:space="preserve">Do Automated Evals Work? (July 2026)</w:t>
      </w:r>
    </w:p>
    <w:p>
      <w:pPr>
        <w:pStyle w:val="ListParagraph"/>
        <w:numPr>
          <w:ilvl w:val="0"/>
          <w:numId w:val="2"/>
        </w:numPr>
      </w:pPr>
      <w:r>
        <w:rPr>
          <w:rFonts w:ascii="Calibri" w:cs="Calibri" w:eastAsia="Calibri" w:hAnsi="Calibri"/>
          <w:color w:val="2D2D2D"/>
          <w:sz w:val="22"/>
          <w:szCs w:val="22"/>
        </w:rPr>
        <w:t xml:space="preserve">Limitations and Failures of LLM-as-a-Judge (Research Report Deep Dive)</w:t>
      </w:r>
    </w:p>
    <w:p>
      <w:pPr>
        <w:pStyle w:val="ListParagraph"/>
        <w:numPr>
          <w:ilvl w:val="0"/>
          <w:numId w:val="2"/>
        </w:numPr>
      </w:pPr>
      <w:r>
        <w:rPr>
          <w:rFonts w:ascii="Calibri" w:cs="Calibri" w:eastAsia="Calibri" w:hAnsi="Calibri"/>
          <w:color w:val="2D2D2D"/>
          <w:sz w:val="22"/>
          <w:szCs w:val="22"/>
        </w:rPr>
        <w:t xml:space="preserve">Connecting the Dots: The Unified Evaluation Philosophy</w:t>
      </w:r>
    </w:p>
    <w:p>
      <w:pPr>
        <w:pStyle w:val="ListParagraph"/>
        <w:numPr>
          <w:ilvl w:val="0"/>
          <w:numId w:val="2"/>
        </w:numPr>
      </w:pPr>
      <w:r>
        <w:rPr>
          <w:rFonts w:ascii="Calibri" w:cs="Calibri" w:eastAsia="Calibri" w:hAnsi="Calibri"/>
          <w:color w:val="2D2D2D"/>
          <w:sz w:val="22"/>
          <w:szCs w:val="22"/>
        </w:rPr>
        <w:t xml:space="preserve">Conclusion &amp; Actionable Recommendations</w:t>
      </w:r>
    </w:p>
    <w:p>
      <w:pPr>
        <w:pBdr>
          <w:bottom w:val="single" w:color="C5D8EC" w:sz="6"/>
        </w:pBdr>
        <w:spacing w:after="200" w:before="200"/>
      </w:pPr>
      <w:r>
        <w:t xml:space="preserve"/>
      </w:r>
    </w:p>
    <w:p>
      <w:pPr>
        <w:pStyle w:val="SectionLabel"/>
      </w:pPr>
      <w:r>
        <w:t xml:space="preserve">Section 2</w:t>
      </w:r>
    </w:p>
    <w:p>
      <w:pPr>
        <w:pStyle w:val="Heading1"/>
      </w:pPr>
      <w:r>
        <w:t xml:space="preserve">Your AI Product Needs Evals (March 2024)</w:t>
      </w:r>
    </w:p>
    <w:p>
      <w:pPr>
        <w:pStyle w:val="BodyText"/>
      </w:pPr>
      <w:r>
        <w:rPr>
          <w:rFonts w:ascii="Calibri" w:cs="Calibri" w:eastAsia="Calibri" w:hAnsi="Calibri"/>
          <w:color w:val="2D2D2D"/>
          <w:sz w:val="22"/>
          <w:szCs w:val="22"/>
        </w:rPr>
        <w:t xml:space="preserve">Published in March 2024, this post is arguably the foundational manifesto of Husain's evals movement. It appeared at a critical moment: the AI industry was a year into the post-ChatGPT hype cycle, companies had built and shipped LLM-powered features at breakneck pace, and the cracks were beginning to show. Products were behaving inconsistently. User trust was eroding. Engineering teams were spending weeks on prompt tweaks with no way to measure whether they were improving things or just shifting the failure modes around. Husain's response: </w:t>
      </w:r>
      <w:r>
        <w:rPr>
          <w:rFonts w:ascii="Calibri" w:cs="Calibri" w:eastAsia="Calibri" w:hAnsi="Calibri"/>
          <w:b/>
          <w:bCs/>
          <w:color w:val="1A3A5C"/>
          <w:sz w:val="22"/>
          <w:szCs w:val="22"/>
        </w:rPr>
        <w:t xml:space="preserve">"Evals are like unit tests for your AI product. They pay massive dividends in the long term despite requiring up-front investment."</w:t>
      </w:r>
    </w:p>
    <w:p>
      <w:pPr>
        <w:pStyle w:val="Heading2"/>
      </w:pPr>
      <w:r>
        <w:t xml:space="preserve">Why Most AI Teams Skip Evals</w:t>
      </w:r>
    </w:p>
    <w:p>
      <w:pPr>
        <w:pStyle w:val="BodyText"/>
      </w:pPr>
      <w:r>
        <w:rPr>
          <w:rFonts w:ascii="Calibri" w:cs="Calibri" w:eastAsia="Calibri" w:hAnsi="Calibri"/>
          <w:color w:val="2D2D2D"/>
          <w:sz w:val="22"/>
          <w:szCs w:val="22"/>
        </w:rPr>
        <w:t xml:space="preserve">The reasons AI teams skip evaluation infrastructure are understandable, even if their consequences are not. Product demos create false confidence: an LLM that performs brilliantly on ten curated examples in front of stakeholders may catastrophically fail on the distribution of real user inputs. The pressure to ship compounds this — evaluation infrastructure takes time to build, and product managers do not celebrate it the way they celebrate new features.</w:t>
      </w:r>
    </w:p>
    <w:p>
      <w:pPr>
        <w:pStyle w:val="BodyText"/>
      </w:pPr>
      <w:r>
        <w:rPr>
          <w:rFonts w:ascii="Calibri" w:cs="Calibri" w:eastAsia="Calibri" w:hAnsi="Calibri"/>
          <w:color w:val="2D2D2D"/>
          <w:sz w:val="22"/>
          <w:szCs w:val="22"/>
        </w:rPr>
        <w:t xml:space="preserve">There is also a measurement problem that is genuinely hard: unlike traditional software, where a test either passes or fails, AI system quality is continuous and contextual. "Good" means something different for a customer service bot than for a code generation assistant. Teams that don't know how to define "good" often decide not to measure it at all. The result is development by intuition — which works until it doesn't, and by then the technical debt has compounded severely.</w:t>
      </w:r>
    </w:p>
    <w:p>
      <w:pPr>
        <w:pStyle w:val="Heading2"/>
      </w:pPr>
      <w:r>
        <w:t xml:space="preserve">The Eval Flywheel: How Everything Gets Easier</w:t>
      </w:r>
    </w:p>
    <w:p>
      <w:pPr>
        <w:pStyle w:val="BodyText"/>
      </w:pPr>
      <w:r>
        <w:rPr>
          <w:rFonts w:ascii="Calibri" w:cs="Calibri" w:eastAsia="Calibri" w:hAnsi="Calibri"/>
          <w:color w:val="2D2D2D"/>
          <w:sz w:val="22"/>
          <w:szCs w:val="22"/>
        </w:rPr>
        <w:t xml:space="preserve">Husain's central practical claim in this post is that streamlining evaluation makes all other activities easier. He describes an "eval flywheel": once you have a reliable way to measure output quality, you can iterate on prompts with confidence, identify when model upgrades actually help, detect regression when you change retrieval logic, and build a training dataset from your failures. Without evals, each of these activities is essentially random.</w:t>
      </w:r>
    </w:p>
    <w:p>
      <w:pPr>
        <w:pStyle w:val="BodyText"/>
      </w:pPr>
      <w:r>
        <w:rPr>
          <w:rFonts w:ascii="Calibri" w:cs="Calibri" w:eastAsia="Calibri" w:hAnsi="Calibri"/>
          <w:color w:val="2D2D2D"/>
          <w:sz w:val="22"/>
          <w:szCs w:val="22"/>
        </w:rPr>
        <w:t xml:space="preserve">The flywheel metaphor is apt. Evaluation is a forcing function that brings discipline to every other part of the development process. A team with good evals can run a thousand experiments; a team without evals is running one experiment indefinitely, with no readout.</w:t>
      </w:r>
    </w:p>
    <w:p>
      <w:pPr>
        <w:pStyle w:val="Heading2"/>
      </w:pPr>
      <w:r>
        <w:t xml:space="preserve">Types of Evals: A Practical Taxonomy</w:t>
      </w:r>
    </w:p>
    <w:p>
      <w:pPr>
        <w:pStyle w:val="BodyText"/>
      </w:pPr>
      <w:r>
        <w:rPr>
          <w:rFonts w:ascii="Calibri" w:cs="Calibri" w:eastAsia="Calibri" w:hAnsi="Calibri"/>
          <w:color w:val="2D2D2D"/>
          <w:sz w:val="22"/>
          <w:szCs w:val="22"/>
        </w:rPr>
        <w:t xml:space="preserve">Husain distinguishes between three levels of evaluation that any serious AI product team should maintain:</w:t>
      </w:r>
    </w:p>
    <w:p>
      <w:pPr>
        <w:pStyle w:val="ListParagraph"/>
        <w:numPr>
          <w:ilvl w:val="0"/>
          <w:numId w:val="3"/>
        </w:numPr>
      </w:pPr>
      <w:r>
        <w:rPr>
          <w:rFonts w:ascii="Calibri" w:cs="Calibri" w:eastAsia="Calibri" w:hAnsi="Calibri"/>
          <w:b w:val="false"/>
          <w:bCs w:val="false"/>
          <w:color w:val="2D2D2D"/>
          <w:sz w:val="22"/>
          <w:szCs w:val="22"/>
        </w:rPr>
        <w:t xml:space="preserve">Unit-level evals test individual components in isolation — does the retriever return relevant documents? Does the classifier correctly identify intent? These should run on every commit.</w:t>
      </w:r>
    </w:p>
    <w:p>
      <w:pPr>
        <w:pStyle w:val="ListParagraph"/>
        <w:numPr>
          <w:ilvl w:val="0"/>
          <w:numId w:val="3"/>
        </w:numPr>
      </w:pPr>
      <w:r>
        <w:rPr>
          <w:rFonts w:ascii="Calibri" w:cs="Calibri" w:eastAsia="Calibri" w:hAnsi="Calibri"/>
          <w:b w:val="false"/>
          <w:bCs w:val="false"/>
          <w:color w:val="2D2D2D"/>
          <w:sz w:val="22"/>
          <w:szCs w:val="22"/>
        </w:rPr>
        <w:t xml:space="preserve">Task-level evals test complete user-facing tasks end-to-end — does the customer service bot correctly handle a refund request? Does the coding assistant generate compilable code? These should run on every deployment.</w:t>
      </w:r>
    </w:p>
    <w:p>
      <w:pPr>
        <w:pStyle w:val="ListParagraph"/>
        <w:numPr>
          <w:ilvl w:val="0"/>
          <w:numId w:val="3"/>
        </w:numPr>
      </w:pPr>
      <w:r>
        <w:rPr>
          <w:rFonts w:ascii="Calibri" w:cs="Calibri" w:eastAsia="Calibri" w:hAnsi="Calibri"/>
          <w:b w:val="false"/>
          <w:bCs w:val="false"/>
          <w:color w:val="2D2D2D"/>
          <w:sz w:val="22"/>
          <w:szCs w:val="22"/>
        </w:rPr>
        <w:t xml:space="preserve">System-level evals test the full product experience, often involving human judges or retrospective analysis of production logs. These run periodically, or when significant changes are made.</w:t>
      </w:r>
    </w:p>
    <w:p>
      <w:pPr>
        <w:pStyle w:val="BodyText"/>
      </w:pPr>
      <w:r>
        <w:rPr>
          <w:rFonts w:ascii="Calibri" w:cs="Calibri" w:eastAsia="Calibri" w:hAnsi="Calibri"/>
          <w:color w:val="2D2D2D"/>
          <w:sz w:val="22"/>
          <w:szCs w:val="22"/>
        </w:rPr>
        <w:t xml:space="preserve">A common failure mode Husain identifies is teams that build only unit-level evals and are then shocked when system-level quality is poor. The levels interact: a component that scores 95% at unit level may produce unacceptable system-level quality if it is failing on the 5% of inputs that actually matter most to users.</w:t>
      </w:r>
    </w:p>
    <w:p>
      <w:pPr>
        <w:pStyle w:val="Heading2"/>
      </w:pPr>
      <w:r>
        <w:t xml:space="preserve">The 93% Wake-Up Call</w:t>
      </w:r>
    </w:p>
    <w:p>
      <w:pPr>
        <w:pStyle w:val="BodyText"/>
      </w:pPr>
      <w:r>
        <w:rPr>
          <w:rFonts w:ascii="Calibri" w:cs="Calibri" w:eastAsia="Calibri" w:hAnsi="Calibri"/>
          <w:color w:val="2D2D2D"/>
          <w:sz w:val="22"/>
          <w:szCs w:val="22"/>
        </w:rPr>
        <w:t xml:space="preserve">The urgency of this post is reinforced by a sobering industry finding: </w:t>
      </w:r>
      <w:r>
        <w:rPr>
          <w:rFonts w:ascii="Calibri" w:cs="Calibri" w:eastAsia="Calibri" w:hAnsi="Calibri"/>
          <w:b/>
          <w:bCs/>
          <w:color w:val="1A3A5C"/>
          <w:sz w:val="22"/>
          <w:szCs w:val="22"/>
        </w:rPr>
        <w:t xml:space="preserve">93% of enterprise teams using LLM-as-a-judge report major reliability issues</w:t>
      </w:r>
      <w:r>
        <w:rPr>
          <w:rFonts w:ascii="Calibri" w:cs="Calibri" w:eastAsia="Calibri" w:hAnsi="Calibri"/>
          <w:color w:val="2D2D2D"/>
          <w:sz w:val="22"/>
          <w:szCs w:val="22"/>
        </w:rPr>
        <w:t xml:space="preserve">, primarily due to consistency failures where the same trace receives vastly different scores on different days. This is not a theoretical risk — it is the predominant experience of teams that have shipped AI products without rigorous evaluation infrastructure. The irony is sharp: the tools that appear to make evaluation easier — LLM judges — are themselves unreliable without the very human validation that teams are trying to avoid.</w:t>
      </w:r>
    </w:p>
    <w:p>
      <w:pPr>
        <w:pBdr>
          <w:bottom w:val="single" w:color="C5D8EC" w:sz="6"/>
        </w:pBdr>
        <w:spacing w:after="200" w:before="200"/>
      </w:pPr>
      <w:r>
        <w:t xml:space="preserve"/>
      </w:r>
    </w:p>
    <w:p>
      <w:pPr>
        <w:pStyle w:val="SectionLabel"/>
      </w:pPr>
      <w:r>
        <w:t xml:space="preserve">Section 3</w:t>
      </w:r>
    </w:p>
    <w:p>
      <w:pPr>
        <w:pStyle w:val="Heading1"/>
      </w:pPr>
      <w:r>
        <w:t xml:space="preserve">What We've Learned From A Year of Building with LLMs (June 2024)</w:t>
      </w:r>
    </w:p>
    <w:p>
      <w:pPr>
        <w:pStyle w:val="BodyText"/>
      </w:pPr>
      <w:r>
        <w:rPr>
          <w:rFonts w:ascii="Calibri" w:cs="Calibri" w:eastAsia="Calibri" w:hAnsi="Calibri"/>
          <w:color w:val="2D2D2D"/>
          <w:sz w:val="22"/>
          <w:szCs w:val="22"/>
        </w:rPr>
        <w:t xml:space="preserve">This landmark collaborative essay, co-authored by Husain with </w:t>
      </w:r>
      <w:r>
        <w:rPr>
          <w:rFonts w:ascii="Calibri" w:cs="Calibri" w:eastAsia="Calibri" w:hAnsi="Calibri"/>
          <w:b/>
          <w:bCs/>
          <w:color w:val="1A3A5C"/>
          <w:sz w:val="22"/>
          <w:szCs w:val="22"/>
        </w:rPr>
        <w:t xml:space="preserve">Eugene Yan, Shreya Shankar, Brian Bischof, Charles Frye,</w:t>
      </w:r>
      <w:r>
        <w:rPr>
          <w:rFonts w:ascii="Calibri" w:cs="Calibri" w:eastAsia="Calibri" w:hAnsi="Calibri"/>
          <w:color w:val="2D2D2D"/>
          <w:sz w:val="22"/>
          <w:szCs w:val="22"/>
        </w:rPr>
        <w:t xml:space="preserve"> and </w:t>
      </w:r>
      <w:r>
        <w:rPr>
          <w:rFonts w:ascii="Calibri" w:cs="Calibri" w:eastAsia="Calibri" w:hAnsi="Calibri"/>
          <w:b/>
          <w:bCs/>
          <w:color w:val="1A3A5C"/>
          <w:sz w:val="22"/>
          <w:szCs w:val="22"/>
        </w:rPr>
        <w:t xml:space="preserve">Jason Liu</w:t>
      </w:r>
      <w:r>
        <w:rPr>
          <w:rFonts w:ascii="Calibri" w:cs="Calibri" w:eastAsia="Calibri" w:hAnsi="Calibri"/>
          <w:color w:val="2D2D2D"/>
          <w:sz w:val="22"/>
          <w:szCs w:val="22"/>
        </w:rPr>
        <w:t xml:space="preserve">, was published via O'Reilly Radar in June 2024. It became one of the most widely circulated practical guides on LLM engineering, synthesizing lessons from over a dozen production AI deployments into a three-part framework of Tactics, Operations, and Strategy. It appeared against the backdrop of an estimated </w:t>
      </w:r>
      <w:r>
        <w:rPr>
          <w:rFonts w:ascii="Calibri" w:cs="Calibri" w:eastAsia="Calibri" w:hAnsi="Calibri"/>
          <w:b/>
          <w:bCs/>
          <w:color w:val="1A3A5C"/>
          <w:sz w:val="22"/>
          <w:szCs w:val="22"/>
        </w:rPr>
        <w:t xml:space="preserve">$200 billion</w:t>
      </w:r>
      <w:r>
        <w:rPr>
          <w:rFonts w:ascii="Calibri" w:cs="Calibri" w:eastAsia="Calibri" w:hAnsi="Calibri"/>
          <w:color w:val="2D2D2D"/>
          <w:sz w:val="22"/>
          <w:szCs w:val="22"/>
        </w:rPr>
        <w:t xml:space="preserve"> in projected AI investment by 2025, and offered a corrective to the hype: most teams were learning hard lessons the expensive way.</w:t>
      </w:r>
    </w:p>
    <w:p>
      <w:pPr>
        <w:pStyle w:val="Heading2"/>
      </w:pPr>
      <w:r>
        <w:t xml:space="preserve">Tactical Lessons: What Actually Works in the Prompt Layer</w:t>
      </w:r>
    </w:p>
    <w:p>
      <w:pPr>
        <w:pStyle w:val="BodyText"/>
      </w:pPr>
      <w:r>
        <w:rPr>
          <w:rFonts w:ascii="Calibri" w:cs="Calibri" w:eastAsia="Calibri" w:hAnsi="Calibri"/>
          <w:color w:val="2D2D2D"/>
          <w:sz w:val="22"/>
          <w:szCs w:val="22"/>
        </w:rPr>
        <w:t xml:space="preserve">The tactical section of the essay covers the practical mechanics of building with LLMs. Several findings stand out for their counterintuitiveness:</w: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Heading2"/>
      </w:pPr>
      <w:r>
        <w:t xml:space="preserve">Operational Lessons: Pipelines, Monitoring, and Continuous Evaluation</w:t>
      </w:r>
    </w:p>
    <w:p>
      <w:pPr>
        <w:pStyle w:val="BodyText"/>
      </w:pPr>
      <w:r>
        <w:rPr>
          <w:rFonts w:ascii="Calibri" w:cs="Calibri" w:eastAsia="Calibri" w:hAnsi="Calibri"/>
          <w:color w:val="2D2D2D"/>
          <w:sz w:val="22"/>
          <w:szCs w:val="22"/>
        </w:rPr>
        <w:t xml:space="preserve">The operational section addresses how teams should instrument their AI products for ongoing quality assurance. The authors argue strongly for:</w:t>
      </w:r>
    </w:p>
    <w:p>
      <w:pPr>
        <w:pStyle w:val="ListParagraph"/>
        <w:numPr>
          <w:ilvl w:val="0"/>
          <w:numId w:val="3"/>
        </w:numPr>
      </w:pPr>
      <w:r>
        <w:rPr>
          <w:rFonts w:ascii="Calibri" w:cs="Calibri" w:eastAsia="Calibri" w:hAnsi="Calibri"/>
          <w:b w:val="false"/>
          <w:bCs w:val="false"/>
          <w:color w:val="2D2D2D"/>
          <w:sz w:val="22"/>
          <w:szCs w:val="22"/>
        </w:rPr>
        <w:t xml:space="preserve">Logging every LLM call with full inputs, outputs, and metadata — this is the raw material of your evaluation dataset</w:t>
      </w:r>
    </w:p>
    <w:p>
      <w:pPr>
        <w:pStyle w:val="ListParagraph"/>
        <w:numPr>
          <w:ilvl w:val="0"/>
          <w:numId w:val="3"/>
        </w:numPr>
      </w:pPr>
      <w:r>
        <w:rPr>
          <w:rFonts w:ascii="Calibri" w:cs="Calibri" w:eastAsia="Calibri" w:hAnsi="Calibri"/>
          <w:b w:val="false"/>
          <w:bCs w:val="false"/>
          <w:color w:val="2D2D2D"/>
          <w:sz w:val="22"/>
          <w:szCs w:val="22"/>
        </w:rPr>
        <w:t xml:space="preserve">Building lightweight annotation pipelines that allow domain experts (not just engineers) to label quality on a rolling basis</w:t>
      </w:r>
    </w:p>
    <w:p>
      <w:pPr>
        <w:pStyle w:val="ListParagraph"/>
        <w:numPr>
          <w:ilvl w:val="0"/>
          <w:numId w:val="3"/>
        </w:numPr>
      </w:pPr>
      <w:r>
        <w:rPr>
          <w:rFonts w:ascii="Calibri" w:cs="Calibri" w:eastAsia="Calibri" w:hAnsi="Calibri"/>
          <w:b w:val="false"/>
          <w:bCs w:val="false"/>
          <w:color w:val="2D2D2D"/>
          <w:sz w:val="22"/>
          <w:szCs w:val="22"/>
        </w:rPr>
        <w:t xml:space="preserve">Treating evaluation as a continuous process rather than a one-time pre-launch gate</w:t>
      </w:r>
    </w:p>
    <w:p>
      <w:pPr>
        <w:pStyle w:val="BodyText"/>
      </w:pPr>
      <w:r>
        <w:rPr>
          <w:rFonts w:ascii="Calibri" w:cs="Calibri" w:eastAsia="Calibri" w:hAnsi="Calibri"/>
          <w:color w:val="2D2D2D"/>
          <w:sz w:val="22"/>
          <w:szCs w:val="22"/>
        </w:rPr>
        <w:t xml:space="preserve">A recurring theme is the importance of making evaluation friction-free. Teams that make it easy for domain experts to review and label AI outputs get dramatically better signal than teams that require those experts to navigate complex tooling.</w:t>
      </w:r>
    </w:p>
    <w:p>
      <w:pPr>
        <w:pStyle w:val="Heading2"/>
      </w:pPr>
      <w:r>
        <w:t xml:space="preserve">Strategic Lessons: The 'Thick Moat' Concept</w:t>
      </w:r>
    </w:p>
    <w:p>
      <w:pPr>
        <w:pStyle w:val="BodyText"/>
      </w:pPr>
      <w:r>
        <w:rPr>
          <w:rFonts w:ascii="Calibri" w:cs="Calibri" w:eastAsia="Calibri" w:hAnsi="Calibri"/>
          <w:color w:val="2D2D2D"/>
          <w:sz w:val="22"/>
          <w:szCs w:val="22"/>
        </w:rPr>
        <w:t xml:space="preserve">The strategic section contains the essay's most prescient claim: </w:t>
      </w:r>
      <w:r>
        <w:rPr>
          <w:rFonts w:ascii="Calibri" w:cs="Calibri" w:eastAsia="Calibri" w:hAnsi="Calibri"/>
          <w:b/>
          <w:bCs/>
          <w:color w:val="1A3A5C"/>
          <w:sz w:val="22"/>
          <w:szCs w:val="22"/>
        </w:rPr>
        <w:t xml:space="preserve">"Models are the least durable component of your AI stack."</w:t>
      </w:r>
      <w:r>
        <w:rPr>
          <w:rFonts w:ascii="Calibri" w:cs="Calibri" w:eastAsia="Calibri" w:hAnsi="Calibri"/>
          <w:color w:val="2D2D2D"/>
          <w:sz w:val="22"/>
          <w:szCs w:val="22"/>
        </w:rPr>
        <w:t xml:space="preserve"> The advice is to invest heavily in what persists across model generations: evaluation infrastructure, guardrails, caching layers, and data flywheels. A well-tuned eval suite, a curated training dataset, and a robust annotation pipeline retain their value when you switch from GPT-4 to a newer model. Raw prompt engineering does not.</w:t>
      </w:r>
    </w:p>
    <w:p>
      <w:pPr>
        <w:pStyle w:val="BodyText"/>
      </w:pPr>
      <w:r>
        <w:rPr>
          <w:rFonts w:ascii="Calibri" w:cs="Calibri" w:eastAsia="Calibri" w:hAnsi="Calibri"/>
          <w:color w:val="2D2D2D"/>
          <w:sz w:val="22"/>
          <w:szCs w:val="22"/>
        </w:rPr>
        <w:t xml:space="preserve">The "thick moat" concept articulates why evaluation-first teams win competitively: </w:t>
      </w:r>
      <w:r>
        <w:rPr>
          <w:rFonts w:ascii="Calibri" w:cs="Calibri" w:eastAsia="Calibri" w:hAnsi="Calibri"/>
          <w:color w:val="2D2D2D"/>
          <w:sz w:val="22"/>
          <w:szCs w:val="22"/>
        </w:rPr>
        <w:t xml:space="preserve">product quality — which requires measurement — is a more defensible advantage than raw model capabilities, which are accessible to all competitors with the same API credits. Teams that invest in understanding their product's failures, and systematically fixing them, build a compounding advantage that cannot be replicated by simply upgrading to the next model release.</w:t>
      </w:r>
    </w:p>
    <w:p>
      <w:pPr>
        <w:pStyle w:val="BodyText"/>
      </w:pPr>
      <w:r>
        <w:rPr>
          <w:rFonts w:ascii="Calibri" w:cs="Calibri" w:eastAsia="Calibri" w:hAnsi="Calibri"/>
          <w:color w:val="2D2D2D"/>
          <w:sz w:val="22"/>
          <w:szCs w:val="22"/>
        </w:rPr>
        <w:t xml:space="preserve">The essay also offers prescient caution against building infrastructure that model providers will eventually offer as a feature: "Don't build what OpenAI is going to solve." This forces teams to think carefully about where their unique, domain-specific understanding creates lasting value — and evaluation of domain-specific quality is almost always that place.</w:t>
      </w:r>
    </w:p>
    <w:p>
      <w:pPr>
        <w:pBdr>
          <w:bottom w:val="single" w:color="C5D8EC" w:sz="6"/>
        </w:pBdr>
        <w:spacing w:after="200" w:before="200"/>
      </w:pPr>
      <w:r>
        <w:t xml:space="preserve"/>
      </w:r>
    </w:p>
    <w:p>
      <w:pPr>
        <w:pStyle w:val="SectionLabel"/>
      </w:pPr>
      <w:r>
        <w:t xml:space="preserve">Section 4</w:t>
      </w:r>
    </w:p>
    <w:p>
      <w:pPr>
        <w:pStyle w:val="Heading1"/>
      </w:pPr>
      <w:r>
        <w:t xml:space="preserve">Using LLM-as-a-Judge For Evaluation: A Complete Guide (October 2024)</w:t>
      </w:r>
    </w:p>
    <w:p>
      <w:pPr>
        <w:pStyle w:val="BodyText"/>
      </w:pPr>
      <w:r>
        <w:rPr>
          <w:rFonts w:ascii="Calibri" w:cs="Calibri" w:eastAsia="Calibri" w:hAnsi="Calibri"/>
          <w:color w:val="2D2D2D"/>
          <w:sz w:val="22"/>
          <w:szCs w:val="22"/>
        </w:rPr>
        <w:t xml:space="preserve">Published in October 2024, this is Husain's most technically detailed post on evaluation methodology. It serves simultaneously as a practical guide to building LLM judges that actually work and as an implicit critique of how LLM judges are typically deployed — without validation, without rubrics, without alignment to human judgment. The guide is structured around a process that most teams skip almost entirely.</w:t>
      </w:r>
    </w:p>
    <w:p>
      <w:pPr>
        <w:pStyle w:val="Heading2"/>
      </w:pPr>
      <w:r>
        <w:t xml:space="preserve">The Principal Domain Expert: The North Star of Evaluation</w:t>
      </w:r>
    </w:p>
    <w:p>
      <w:pPr>
        <w:pStyle w:val="BodyText"/>
      </w:pPr>
      <w:r>
        <w:rPr>
          <w:rFonts w:ascii="Calibri" w:cs="Calibri" w:eastAsia="Calibri" w:hAnsi="Calibri"/>
          <w:color w:val="2D2D2D"/>
          <w:sz w:val="22"/>
          <w:szCs w:val="22"/>
        </w:rPr>
        <w:t xml:space="preserve">Husain's guide opens with a concept that anchors everything that follows: the </w:t>
      </w:r>
      <w:r>
        <w:rPr>
          <w:rFonts w:ascii="Calibri" w:cs="Calibri" w:eastAsia="Calibri" w:hAnsi="Calibri"/>
          <w:b/>
          <w:bCs/>
          <w:color w:val="1A3A5C"/>
          <w:sz w:val="22"/>
          <w:szCs w:val="22"/>
        </w:rPr>
        <w:t xml:space="preserve">Principal Domain Expert</w:t>
      </w:r>
      <w:r>
        <w:rPr>
          <w:rFonts w:ascii="Calibri" w:cs="Calibri" w:eastAsia="Calibri" w:hAnsi="Calibri"/>
          <w:color w:val="2D2D2D"/>
          <w:sz w:val="22"/>
          <w:szCs w:val="22"/>
        </w:rPr>
        <w:t xml:space="preserve"> (PDE). This is the one or two people whose judgment, more than any other signal, defines product success. For a medical documentation AI, the PDE might be a senior clinician. For a coding assistant, a staff engineer who understands both the codebase and user needs. For a customer service bot, the team lead who has read thousands of real customer interactions.</w:t>
      </w:r>
    </w:p>
    <w:p>
      <w:pPr>
        <w:pStyle w:val="BodyText"/>
      </w:pPr>
      <w:r>
        <w:rPr>
          <w:rFonts w:ascii="Calibri" w:cs="Calibri" w:eastAsia="Calibri" w:hAnsi="Calibri"/>
          <w:color w:val="2D2D2D"/>
          <w:sz w:val="22"/>
          <w:szCs w:val="22"/>
        </w:rPr>
        <w:t xml:space="preserve">The PDE is not an LLM. The PDE is a human whose expertise and judgment the evaluation system is designed to approximate and scale. Every design decision in the evaluation pipeline — what criteria to evaluate, how to write rubrics, how to validate automated judges — flows from a deep understanding of what the PDE would find acceptable or unacceptable. Teams that skip this step and go directly to LLM judges are, in Husain's framing, automating the wrong thing.</w:t>
      </w:r>
    </w:p>
    <w:p>
      <w:pPr>
        <w:pStyle w:val="Heading2"/>
      </w:pPr>
      <w:r>
        <w:t xml:space="preserve">Why Numerical Scoring Scales Fail</w:t>
      </w:r>
    </w:p>
    <w:p>
      <w:pPr>
        <w:pStyle w:val="BodyText"/>
      </w:pPr>
      <w:r>
        <w:rPr>
          <w:rFonts w:ascii="Calibri" w:cs="Calibri" w:eastAsia="Calibri" w:hAnsi="Calibri"/>
          <w:color w:val="2D2D2D"/>
          <w:sz w:val="22"/>
          <w:szCs w:val="22"/>
        </w:rPr>
        <w:t xml:space="preserve">One of the most practically important insights in this post is Husain's critique of </w:t>
      </w:r>
      <w:r>
        <w:rPr>
          <w:rFonts w:ascii="Calibri" w:cs="Calibri" w:eastAsia="Calibri" w:hAnsi="Calibri"/>
          <w:b/>
          <w:bCs/>
          <w:color w:val="1A3A5C"/>
          <w:sz w:val="22"/>
          <w:szCs w:val="22"/>
        </w:rPr>
        <w:t xml:space="preserve">arbitrary numerical scoring systems</w:t>
      </w:r>
      <w:r>
        <w:rPr>
          <w:rFonts w:ascii="Calibri" w:cs="Calibri" w:eastAsia="Calibri" w:hAnsi="Calibri"/>
          <w:color w:val="2D2D2D"/>
          <w:sz w:val="22"/>
          <w:szCs w:val="22"/>
        </w:rPr>
        <w:t xml:space="preserve">. Most teams, when they first build LLM judges, ask the judge to rate responses on a scale of 1 to 5. The problem is immediately apparent to anyone who tries to write the rubric: </w:t>
      </w:r>
      <w:r>
        <w:rPr>
          <w:rFonts w:ascii="Calibri" w:cs="Calibri" w:eastAsia="Calibri" w:hAnsi="Calibri"/>
          <w:b/>
          <w:bCs/>
          <w:color w:val="1A3A5C"/>
          <w:sz w:val="22"/>
          <w:szCs w:val="22"/>
        </w:rPr>
        <w:t xml:space="preserve">"What makes something a 3 versus a 4? Nobody knows."</w:t>
      </w:r>
    </w:p>
    <w:p>
      <w:pPr>
        <w:pStyle w:val="BodyText"/>
      </w:pPr>
      <w:r>
        <w:rPr>
          <w:rFonts w:ascii="Calibri" w:cs="Calibri" w:eastAsia="Calibri" w:hAnsi="Calibri"/>
          <w:color w:val="2D2D2D"/>
          <w:sz w:val="22"/>
          <w:szCs w:val="22"/>
        </w:rPr>
        <w:t xml:space="preserve">Numerical scales create the illusion of precision while introducing enormous variance. The same response, evaluated by the same LLM judge with the same prompt, may receive a 3 on Monday and a 4 on Thursday — not because the response quality changed, but because the model's temperature, internal state, or context window contents varied slightly. Aggregating these noisy scores produces averages that mean nothing.</w:t>
      </w:r>
    </w:p>
    <w:p>
      <w:pPr>
        <w:pStyle w:val="BodyText"/>
      </w:pPr>
      <w:r>
        <w:rPr>
          <w:rFonts w:ascii="Calibri" w:cs="Calibri" w:eastAsia="Calibri" w:hAnsi="Calibri"/>
          <w:color w:val="2D2D2D"/>
          <w:sz w:val="22"/>
          <w:szCs w:val="22"/>
        </w:rPr>
        <w:t xml:space="preserve">The alternative Husain advocates is </w:t>
      </w:r>
      <w:r>
        <w:rPr>
          <w:rFonts w:ascii="Calibri" w:cs="Calibri" w:eastAsia="Calibri" w:hAnsi="Calibri"/>
          <w:b/>
          <w:bCs/>
          <w:color w:val="1A3A5C"/>
          <w:sz w:val="22"/>
          <w:szCs w:val="22"/>
        </w:rPr>
        <w:t xml:space="preserve">pass/fail evaluation with explicit, unambiguous criteria</w:t>
      </w:r>
      <w:r>
        <w:rPr>
          <w:rFonts w:ascii="Calibri" w:cs="Calibri" w:eastAsia="Calibri" w:hAnsi="Calibri"/>
          <w:color w:val="2D2D2D"/>
          <w:sz w:val="22"/>
          <w:szCs w:val="22"/>
        </w:rPr>
        <w:t xml:space="preserve">. Instead of "rate the helpfulness of this response on a 1-5 scale," the rubric should specify: "PASS if the response correctly identifies the user's intent AND provides a complete answer AND does not hallucinate any facts. FAIL otherwise." Each criterion is binary and has a clear definition.</w:t>
      </w:r>
    </w:p>
    <w:p>
      <w:pPr>
        <w:pStyle w:val="Heading2"/>
      </w:pPr>
      <w:r>
        <w:t xml:space="preserve">Validating Judges Against Human Labels</w:t>
      </w:r>
    </w:p>
    <w:p>
      <w:pPr>
        <w:pStyle w:val="BodyText"/>
      </w:pPr>
      <w:r>
        <w:rPr>
          <w:rFonts w:ascii="Calibri" w:cs="Calibri" w:eastAsia="Calibri" w:hAnsi="Calibri"/>
          <w:color w:val="2D2D2D"/>
          <w:sz w:val="22"/>
          <w:szCs w:val="22"/>
        </w:rPr>
        <w:t xml:space="preserve">The most rigorous section of the guide addresses judge validation — a step that a majority of teams deploying LLM judges skip entirely. Husain's process:</w:t>
      </w:r>
    </w:p>
    <w:p>
      <w:pPr>
        <w:pStyle w:val="ListParagraph"/>
        <w:numPr>
          <w:ilvl w:val="0"/>
          <w:numId w:val="4"/>
        </w:numPr>
      </w:pPr>
      <w:r>
        <w:rPr>
          <w:rFonts w:ascii="Calibri" w:cs="Calibri" w:eastAsia="Calibri" w:hAnsi="Calibri"/>
          <w:b/>
          <w:bCs/>
          <w:color w:val="1A3A5C"/>
          <w:sz w:val="22"/>
          <w:szCs w:val="22"/>
        </w:rPr>
        <w:t xml:space="preserve">Collect a representative sample</w:t>
      </w:r>
      <w:r>
        <w:rPr>
          <w:rFonts w:ascii="Calibri" w:cs="Calibri" w:eastAsia="Calibri" w:hAnsi="Calibri"/>
          <w:color w:val="2D2D2D"/>
          <w:sz w:val="22"/>
          <w:szCs w:val="22"/>
        </w:rPr>
        <w:t xml:space="preserve"> of AI outputs — at least 50-100 examples drawn from real production logs, ensuring diversity across failure modes</w:t>
      </w:r>
    </w:p>
    <w:p>
      <w:pPr>
        <w:pStyle w:val="ListParagraph"/>
        <w:numPr>
          <w:ilvl w:val="0"/>
          <w:numId w:val="4"/>
        </w:numPr>
      </w:pPr>
      <w:r>
        <w:rPr>
          <w:rFonts w:ascii="Calibri" w:cs="Calibri" w:eastAsia="Calibri" w:hAnsi="Calibri"/>
          <w:b/>
          <w:bCs/>
          <w:color w:val="1A3A5C"/>
          <w:sz w:val="22"/>
          <w:szCs w:val="22"/>
        </w:rPr>
        <w:t xml:space="preserve">Have your Principal Domain Expert label them</w:t>
      </w:r>
      <w:r>
        <w:rPr>
          <w:rFonts w:ascii="Calibri" w:cs="Calibri" w:eastAsia="Calibri" w:hAnsi="Calibri"/>
          <w:color w:val="2D2D2D"/>
          <w:sz w:val="22"/>
          <w:szCs w:val="22"/>
        </w:rPr>
        <w:t xml:space="preserve"> with pass/fail judgments and brief explanations for each failure</w:t>
      </w:r>
    </w:p>
    <w:p>
      <w:pPr>
        <w:pStyle w:val="ListParagraph"/>
        <w:numPr>
          <w:ilvl w:val="0"/>
          <w:numId w:val="4"/>
        </w:numPr>
      </w:pPr>
      <w:r>
        <w:rPr>
          <w:rFonts w:ascii="Calibri" w:cs="Calibri" w:eastAsia="Calibri" w:hAnsi="Calibri"/>
          <w:b/>
          <w:bCs/>
          <w:color w:val="1A3A5C"/>
          <w:sz w:val="22"/>
          <w:szCs w:val="22"/>
        </w:rPr>
        <w:t xml:space="preserve">Run your LLM judge on the same examples</w:t>
      </w:r>
      <w:r>
        <w:rPr>
          <w:rFonts w:ascii="Calibri" w:cs="Calibri" w:eastAsia="Calibri" w:hAnsi="Calibri"/>
          <w:color w:val="2D2D2D"/>
          <w:sz w:val="22"/>
          <w:szCs w:val="22"/>
        </w:rPr>
        <w:t xml:space="preserve"> with the rubric you have written</w:t>
      </w:r>
    </w:p>
    <w:p>
      <w:pPr>
        <w:pStyle w:val="ListParagraph"/>
        <w:numPr>
          <w:ilvl w:val="0"/>
          <w:numId w:val="4"/>
        </w:numPr>
      </w:pPr>
      <w:r>
        <w:rPr>
          <w:rFonts w:ascii="Calibri" w:cs="Calibri" w:eastAsia="Calibri" w:hAnsi="Calibri"/>
          <w:b/>
          <w:bCs/>
          <w:color w:val="1A3A5C"/>
          <w:sz w:val="22"/>
          <w:szCs w:val="22"/>
        </w:rPr>
        <w:t xml:space="preserve">Compare the LLM judge's verdicts against human labels</w:t>
      </w:r>
      <w:r>
        <w:rPr>
          <w:rFonts w:ascii="Calibri" w:cs="Calibri" w:eastAsia="Calibri" w:hAnsi="Calibri"/>
          <w:color w:val="2D2D2D"/>
          <w:sz w:val="22"/>
          <w:szCs w:val="22"/>
        </w:rPr>
        <w:t xml:space="preserve"> and compute precision, recall, and disagreement analysis</w:t>
      </w:r>
    </w:p>
    <w:p>
      <w:pPr>
        <w:pStyle w:val="ListParagraph"/>
        <w:numPr>
          <w:ilvl w:val="0"/>
          <w:numId w:val="4"/>
        </w:numPr>
      </w:pPr>
      <w:r>
        <w:rPr>
          <w:rFonts w:ascii="Calibri" w:cs="Calibri" w:eastAsia="Calibri" w:hAnsi="Calibri"/>
          <w:b/>
          <w:bCs/>
          <w:color w:val="1A3A5C"/>
          <w:sz w:val="22"/>
          <w:szCs w:val="22"/>
        </w:rPr>
        <w:t xml:space="preserve">Iterate on the rubric</w:t>
      </w:r>
      <w:r>
        <w:rPr>
          <w:rFonts w:ascii="Calibri" w:cs="Calibri" w:eastAsia="Calibri" w:hAnsi="Calibri"/>
          <w:color w:val="2D2D2D"/>
          <w:sz w:val="22"/>
          <w:szCs w:val="22"/>
        </w:rPr>
        <w:t xml:space="preserve"> until LLM-human agreement is acceptable for your use case (typically &gt;80% for low-stakes evaluation, &gt;95% for high-stakes)</w:t>
      </w:r>
    </w:p>
    <w:p>
      <w:pPr>
        <w:pStyle w:val="BodyText"/>
      </w:pPr>
      <w:r>
        <w:rPr>
          <w:rFonts w:ascii="Calibri" w:cs="Calibri" w:eastAsia="Calibri" w:hAnsi="Calibri"/>
          <w:color w:val="2D2D2D"/>
          <w:sz w:val="22"/>
          <w:szCs w:val="22"/>
        </w:rPr>
        <w:t xml:space="preserve">This process directly addresses the catastrophic failure mode documented in the research report: LLM judges deployed without validation that flag zero failures in batches containing confirmed defects. The food-ordering agent case study — in which an LLM judge's operational gate passed 100 rounds that contained 23 confirmed defects — is a direct consequence of skipping judge validation.</w:t>
      </w:r>
    </w:p>
    <w:p>
      <w:pPr>
        <w:pStyle w:val="Heading2"/>
      </w:pPr>
      <w:r>
        <w:t xml:space="preserve">Critical Evidence from the Research Report</w:t>
      </w:r>
    </w:p>
    <w:p>
      <w:pPr>
        <w:pStyle w:val="BodyText"/>
      </w:pPr>
      <w:r>
        <w:rPr>
          <w:rFonts w:ascii="Calibri" w:cs="Calibri" w:eastAsia="Calibri" w:hAnsi="Calibri"/>
          <w:color w:val="2D2D2D"/>
          <w:sz w:val="22"/>
          <w:szCs w:val="22"/>
        </w:rPr>
        <w:t xml:space="preserve">The research literature provides sobering quantification of what happens when teams deploy LLM judges without the validation process Husain describes. These findings should be treated as the empirical foundation of 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640"/>
        <w:gridCol w:w="1720"/>
      </w:tblGrid>
      <w:tr>
        <w:trPr>
          <w:tblHeader/>
        </w:trPr>
        <w:tc>
          <w:tcPr>
            <w:tcW w:type="dxa" w:w="2000"/>
            <w:tcBorders>
              <w:top w:val="single" w:color="2B5A8A" w:sz="4"/>
              <w:left w:val="single" w:color="2B5A8A" w:sz="4"/>
              <w:bottom w:val="single" w:color="2B5A8A" w:sz="4"/>
              <w:right w:val="single" w:color="2B5A8A" w:sz="4"/>
            </w:tcBorders>
            <w:shd w:fill="1A3A5C" w:val="clear"/>
            <w:vAlign w:val="center"/>
          </w:tcPr>
          <w:p>
            <w:pPr>
              <w:jc w:val="center"/>
            </w:pPr>
            <w:r>
              <w:rPr>
                <w:rFonts w:ascii="Calibri" w:cs="Calibri" w:eastAsia="Calibri" w:hAnsi="Calibri"/>
                <w:b/>
                <w:bCs/>
                <w:color w:val="FFFFFF"/>
                <w:sz w:val="20"/>
                <w:szCs w:val="20"/>
              </w:rPr>
              <w:t xml:space="preserve">Bias Type</w:t>
            </w:r>
          </w:p>
        </w:tc>
        <w:tc>
          <w:tcPr>
            <w:tcW w:type="dxa" w:w="5640"/>
            <w:tcBorders>
              <w:top w:val="single" w:color="2B5A8A" w:sz="4"/>
              <w:left w:val="single" w:color="2B5A8A" w:sz="4"/>
              <w:bottom w:val="single" w:color="2B5A8A" w:sz="4"/>
              <w:right w:val="single" w:color="2B5A8A" w:sz="4"/>
            </w:tcBorders>
            <w:shd w:fill="1A3A5C" w:val="clear"/>
            <w:vAlign w:val="center"/>
          </w:tcPr>
          <w:p>
            <w:pPr>
              <w:jc w:val="center"/>
            </w:pPr>
            <w:r>
              <w:rPr>
                <w:rFonts w:ascii="Calibri" w:cs="Calibri" w:eastAsia="Calibri" w:hAnsi="Calibri"/>
                <w:b/>
                <w:bCs/>
                <w:color w:val="FFFFFF"/>
                <w:sz w:val="20"/>
                <w:szCs w:val="20"/>
              </w:rPr>
              <w:t xml:space="preserve">Evidence</w:t>
            </w:r>
          </w:p>
        </w:tc>
        <w:tc>
          <w:tcPr>
            <w:tcW w:type="dxa" w:w="1720"/>
            <w:tcBorders>
              <w:top w:val="single" w:color="2B5A8A" w:sz="4"/>
              <w:left w:val="single" w:color="2B5A8A" w:sz="4"/>
              <w:bottom w:val="single" w:color="2B5A8A" w:sz="4"/>
              <w:right w:val="single" w:color="2B5A8A" w:sz="4"/>
            </w:tcBorders>
            <w:shd w:fill="1A3A5C" w:val="clear"/>
            <w:vAlign w:val="center"/>
          </w:tcPr>
          <w:p>
            <w:pPr>
              <w:jc w:val="center"/>
            </w:pPr>
            <w:r>
              <w:rPr>
                <w:rFonts w:ascii="Calibri" w:cs="Calibri" w:eastAsia="Calibri" w:hAnsi="Calibri"/>
                <w:b/>
                <w:bCs/>
                <w:color w:val="FFFFFF"/>
                <w:sz w:val="20"/>
                <w:szCs w:val="20"/>
              </w:rPr>
              <w:t xml:space="preserve">Severity</w:t>
            </w:r>
          </w:p>
        </w:tc>
      </w:tr>
      <w:tr>
        <w:tc>
          <w:tcPr>
            <w:tcW w:type="dxa" w:w="2000"/>
            <w:tcBorders>
              <w:top w:val="single" w:color="C5D8EC" w:sz="4"/>
              <w:left w:val="single" w:color="C5D8EC" w:sz="4"/>
              <w:bottom w:val="single" w:color="C5D8EC" w:sz="4"/>
              <w:right w:val="single" w:color="C5D8EC" w:sz="4"/>
            </w:tcBorders>
            <w:shd w:fill="F8F9FA" w:val="clear"/>
          </w:tcPr>
          <w:p>
            <w:pPr>
              <w:spacing w:after="60" w:before="60"/>
              <w:jc w:val="left"/>
            </w:pPr>
            <w:r>
              <w:rPr>
                <w:rFonts w:ascii="Calibri" w:cs="Calibri" w:eastAsia="Calibri" w:hAnsi="Calibri"/>
                <w:b/>
                <w:bCs/>
                <w:color w:val="2D2D2D"/>
                <w:sz w:val="20"/>
                <w:szCs w:val="20"/>
              </w:rPr>
              <w:t xml:space="preserve">Position Bias</w:t>
            </w:r>
          </w:p>
        </w:tc>
        <w:tc>
          <w:tcPr>
            <w:tcW w:type="dxa" w:w="5640"/>
            <w:tcBorders>
              <w:top w:val="single" w:color="C5D8EC" w:sz="4"/>
              <w:left w:val="single" w:color="C5D8EC" w:sz="4"/>
              <w:bottom w:val="single" w:color="C5D8EC" w:sz="4"/>
              <w:right w:val="single" w:color="C5D8EC" w:sz="4"/>
            </w:tcBorders>
            <w:shd w:fill="FFFFFF" w:val="clear"/>
          </w:tcPr>
          <w:p>
            <w:pPr>
              <w:spacing w:after="60" w:before="60"/>
              <w:jc w:val="left"/>
            </w:pPr>
            <w:r>
              <w:rPr>
                <w:rFonts w:ascii="Calibri" w:cs="Calibri" w:eastAsia="Calibri" w:hAnsi="Calibri"/>
                <w:b w:val="false"/>
                <w:bCs w:val="false"/>
                <w:color w:val="2D2D2D"/>
                <w:sz w:val="20"/>
                <w:szCs w:val="20"/>
              </w:rPr>
              <w:t xml:space="preserve">GPT-4 contradicts its own verdicts ~35% of the time after swapping response order; Claude-v1 is consistent only 23.8% of the time</w:t>
            </w:r>
          </w:p>
        </w:tc>
        <w:tc>
          <w:tcPr>
            <w:tcW w:type="dxa" w:w="1720"/>
            <w:tcBorders>
              <w:top w:val="single" w:color="C5D8EC" w:sz="4"/>
              <w:left w:val="single" w:color="C5D8EC" w:sz="4"/>
              <w:bottom w:val="single" w:color="C5D8EC" w:sz="4"/>
              <w:right w:val="single" w:color="C5D8EC" w:sz="4"/>
            </w:tcBorders>
            <w:shd w:fill="FEF0EF" w:val="clear"/>
          </w:tcPr>
          <w:p>
            <w:pPr>
              <w:spacing w:after="60" w:before="60"/>
              <w:jc w:val="left"/>
            </w:pPr>
            <w:r>
              <w:rPr>
                <w:rFonts w:ascii="Calibri" w:cs="Calibri" w:eastAsia="Calibri" w:hAnsi="Calibri"/>
                <w:b/>
                <w:bCs/>
                <w:color w:val="2D2D2D"/>
                <w:sz w:val="20"/>
                <w:szCs w:val="20"/>
              </w:rPr>
              <w:t xml:space="preserve">Critical</w:t>
            </w:r>
          </w:p>
        </w:tc>
      </w:tr>
      <w:tr>
        <w:tc>
          <w:tcPr>
            <w:tcW w:type="dxa" w:w="2000"/>
            <w:tcBorders>
              <w:top w:val="single" w:color="C5D8EC" w:sz="4"/>
              <w:left w:val="single" w:color="C5D8EC" w:sz="4"/>
              <w:bottom w:val="single" w:color="C5D8EC" w:sz="4"/>
              <w:right w:val="single" w:color="C5D8EC" w:sz="4"/>
            </w:tcBorders>
            <w:shd w:fill="F2F6FA" w:val="clear"/>
          </w:tcPr>
          <w:p>
            <w:pPr>
              <w:spacing w:after="60" w:before="60"/>
              <w:jc w:val="left"/>
            </w:pPr>
            <w:r>
              <w:rPr>
                <w:rFonts w:ascii="Calibri" w:cs="Calibri" w:eastAsia="Calibri" w:hAnsi="Calibri"/>
                <w:b/>
                <w:bCs/>
                <w:color w:val="2D2D2D"/>
                <w:sz w:val="20"/>
                <w:szCs w:val="20"/>
              </w:rPr>
              <w:t xml:space="preserve">Style Bias</w:t>
            </w:r>
          </w:p>
        </w:tc>
        <w:tc>
          <w:tcPr>
            <w:tcW w:type="dxa" w:w="5640"/>
            <w:tcBorders>
              <w:top w:val="single" w:color="C5D8EC" w:sz="4"/>
              <w:left w:val="single" w:color="C5D8EC" w:sz="4"/>
              <w:bottom w:val="single" w:color="C5D8EC" w:sz="4"/>
              <w:right w:val="single" w:color="C5D8EC" w:sz="4"/>
            </w:tcBorders>
            <w:shd w:fill="F2F6FA" w:val="clear"/>
          </w:tcPr>
          <w:p>
            <w:pPr>
              <w:spacing w:after="60" w:before="60"/>
              <w:jc w:val="left"/>
            </w:pPr>
            <w:r>
              <w:rPr>
                <w:rFonts w:ascii="Calibri" w:cs="Calibri" w:eastAsia="Calibri" w:hAnsi="Calibri"/>
                <w:b w:val="false"/>
                <w:bCs w:val="false"/>
                <w:color w:val="2D2D2D"/>
                <w:sz w:val="20"/>
                <w:szCs w:val="20"/>
              </w:rPr>
              <w:t xml:space="preserve">Preference for markdown-formatted responses produces effect sizes up to 0.76 — the dominant bias type, far exceeding content quality effects</w:t>
            </w:r>
          </w:p>
        </w:tc>
        <w:tc>
          <w:tcPr>
            <w:tcW w:type="dxa" w:w="1720"/>
            <w:tcBorders>
              <w:top w:val="single" w:color="C5D8EC" w:sz="4"/>
              <w:left w:val="single" w:color="C5D8EC" w:sz="4"/>
              <w:bottom w:val="single" w:color="C5D8EC" w:sz="4"/>
              <w:right w:val="single" w:color="C5D8EC" w:sz="4"/>
            </w:tcBorders>
            <w:shd w:fill="FEF0EF" w:val="clear"/>
          </w:tcPr>
          <w:p>
            <w:pPr>
              <w:spacing w:after="60" w:before="60"/>
              <w:jc w:val="left"/>
            </w:pPr>
            <w:r>
              <w:rPr>
                <w:rFonts w:ascii="Calibri" w:cs="Calibri" w:eastAsia="Calibri" w:hAnsi="Calibri"/>
                <w:b/>
                <w:bCs/>
                <w:color w:val="2D2D2D"/>
                <w:sz w:val="20"/>
                <w:szCs w:val="20"/>
              </w:rPr>
              <w:t xml:space="preserve">Critical</w:t>
            </w:r>
          </w:p>
        </w:tc>
      </w:tr>
      <w:tr>
        <w:tc>
          <w:tcPr>
            <w:tcW w:type="dxa" w:w="2000"/>
            <w:tcBorders>
              <w:top w:val="single" w:color="C5D8EC" w:sz="4"/>
              <w:left w:val="single" w:color="C5D8EC" w:sz="4"/>
              <w:bottom w:val="single" w:color="C5D8EC" w:sz="4"/>
              <w:right w:val="single" w:color="C5D8EC" w:sz="4"/>
            </w:tcBorders>
            <w:shd w:fill="F8F9FA" w:val="clear"/>
          </w:tcPr>
          <w:p>
            <w:pPr>
              <w:spacing w:after="60" w:before="60"/>
              <w:jc w:val="left"/>
            </w:pPr>
            <w:r>
              <w:rPr>
                <w:rFonts w:ascii="Calibri" w:cs="Calibri" w:eastAsia="Calibri" w:hAnsi="Calibri"/>
                <w:b/>
                <w:bCs/>
                <w:color w:val="2D2D2D"/>
                <w:sz w:val="20"/>
                <w:szCs w:val="20"/>
              </w:rPr>
              <w:t xml:space="preserve">Self-Enhancement</w:t>
            </w:r>
          </w:p>
        </w:tc>
        <w:tc>
          <w:tcPr>
            <w:tcW w:type="dxa" w:w="5640"/>
            <w:tcBorders>
              <w:top w:val="single" w:color="C5D8EC" w:sz="4"/>
              <w:left w:val="single" w:color="C5D8EC" w:sz="4"/>
              <w:bottom w:val="single" w:color="C5D8EC" w:sz="4"/>
              <w:right w:val="single" w:color="C5D8EC" w:sz="4"/>
            </w:tcBorders>
            <w:shd w:fill="FFFFFF" w:val="clear"/>
          </w:tcPr>
          <w:p>
            <w:pPr>
              <w:spacing w:after="60" w:before="60"/>
              <w:jc w:val="left"/>
            </w:pPr>
            <w:r>
              <w:rPr>
                <w:rFonts w:ascii="Calibri" w:cs="Calibri" w:eastAsia="Calibri" w:hAnsi="Calibri"/>
                <w:b w:val="false"/>
                <w:bCs w:val="false"/>
                <w:color w:val="2D2D2D"/>
                <w:sz w:val="20"/>
                <w:szCs w:val="20"/>
              </w:rPr>
              <w:t xml:space="preserve">GPT-4 inflates win rates by 10%; Claude-v1 by 25% when evaluating outputs from their own model family</w:t>
            </w:r>
          </w:p>
        </w:tc>
        <w:tc>
          <w:tcPr>
            <w:tcW w:type="dxa" w:w="1720"/>
            <w:tcBorders>
              <w:top w:val="single" w:color="C5D8EC" w:sz="4"/>
              <w:left w:val="single" w:color="C5D8EC" w:sz="4"/>
              <w:bottom w:val="single" w:color="C5D8EC" w:sz="4"/>
              <w:right w:val="single" w:color="C5D8EC" w:sz="4"/>
            </w:tcBorders>
            <w:shd w:fill="FFF8E1" w:val="clear"/>
          </w:tcPr>
          <w:p>
            <w:pPr>
              <w:spacing w:after="60" w:before="60"/>
              <w:jc w:val="left"/>
            </w:pPr>
            <w:r>
              <w:rPr>
                <w:rFonts w:ascii="Calibri" w:cs="Calibri" w:eastAsia="Calibri" w:hAnsi="Calibri"/>
                <w:b/>
                <w:bCs/>
                <w:color w:val="2D2D2D"/>
                <w:sz w:val="20"/>
                <w:szCs w:val="20"/>
              </w:rPr>
              <w:t xml:space="preserve">High</w:t>
            </w:r>
          </w:p>
        </w:tc>
      </w:tr>
      <w:tr>
        <w:tc>
          <w:tcPr>
            <w:tcW w:type="dxa" w:w="2000"/>
            <w:tcBorders>
              <w:top w:val="single" w:color="C5D8EC" w:sz="4"/>
              <w:left w:val="single" w:color="C5D8EC" w:sz="4"/>
              <w:bottom w:val="single" w:color="C5D8EC" w:sz="4"/>
              <w:right w:val="single" w:color="C5D8EC" w:sz="4"/>
            </w:tcBorders>
            <w:shd w:fill="F2F6FA" w:val="clear"/>
          </w:tcPr>
          <w:p>
            <w:pPr>
              <w:spacing w:after="60" w:before="60"/>
              <w:jc w:val="left"/>
            </w:pPr>
            <w:r>
              <w:rPr>
                <w:rFonts w:ascii="Calibri" w:cs="Calibri" w:eastAsia="Calibri" w:hAnsi="Calibri"/>
                <w:b/>
                <w:bCs/>
                <w:color w:val="2D2D2D"/>
                <w:sz w:val="20"/>
                <w:szCs w:val="20"/>
              </w:rPr>
              <w:t xml:space="preserve">Verbosity Bias</w:t>
            </w:r>
          </w:p>
        </w:tc>
        <w:tc>
          <w:tcPr>
            <w:tcW w:type="dxa" w:w="5640"/>
            <w:tcBorders>
              <w:top w:val="single" w:color="C5D8EC" w:sz="4"/>
              <w:left w:val="single" w:color="C5D8EC" w:sz="4"/>
              <w:bottom w:val="single" w:color="C5D8EC" w:sz="4"/>
              <w:right w:val="single" w:color="C5D8EC" w:sz="4"/>
            </w:tcBorders>
            <w:shd w:fill="F2F6FA" w:val="clear"/>
          </w:tcPr>
          <w:p>
            <w:pPr>
              <w:spacing w:after="60" w:before="60"/>
              <w:jc w:val="left"/>
            </w:pPr>
            <w:r>
              <w:rPr>
                <w:rFonts w:ascii="Calibri" w:cs="Calibri" w:eastAsia="Calibri" w:hAnsi="Calibri"/>
                <w:b w:val="false"/>
                <w:bCs w:val="false"/>
                <w:color w:val="2D2D2D"/>
                <w:sz w:val="20"/>
                <w:szCs w:val="20"/>
              </w:rPr>
              <w:t xml:space="preserve">91.3% failure rate for Claude-v1 and GPT-3.5 under repetitive list attacks; preference for longer responses independent of quality</w:t>
            </w:r>
          </w:p>
        </w:tc>
        <w:tc>
          <w:tcPr>
            <w:tcW w:type="dxa" w:w="1720"/>
            <w:tcBorders>
              <w:top w:val="single" w:color="C5D8EC" w:sz="4"/>
              <w:left w:val="single" w:color="C5D8EC" w:sz="4"/>
              <w:bottom w:val="single" w:color="C5D8EC" w:sz="4"/>
              <w:right w:val="single" w:color="C5D8EC" w:sz="4"/>
            </w:tcBorders>
            <w:shd w:fill="FFF8E1" w:val="clear"/>
          </w:tcPr>
          <w:p>
            <w:pPr>
              <w:spacing w:after="60" w:before="60"/>
              <w:jc w:val="left"/>
            </w:pPr>
            <w:r>
              <w:rPr>
                <w:rFonts w:ascii="Calibri" w:cs="Calibri" w:eastAsia="Calibri" w:hAnsi="Calibri"/>
                <w:b/>
                <w:bCs/>
                <w:color w:val="2D2D2D"/>
                <w:sz w:val="20"/>
                <w:szCs w:val="20"/>
              </w:rPr>
              <w:t xml:space="preserve">High</w:t>
            </w:r>
          </w:p>
        </w:tc>
      </w:tr>
      <w:tr>
        <w:tc>
          <w:tcPr>
            <w:tcW w:type="dxa" w:w="2000"/>
            <w:tcBorders>
              <w:top w:val="single" w:color="C5D8EC" w:sz="4"/>
              <w:left w:val="single" w:color="C5D8EC" w:sz="4"/>
              <w:bottom w:val="single" w:color="C5D8EC" w:sz="4"/>
              <w:right w:val="single" w:color="C5D8EC" w:sz="4"/>
            </w:tcBorders>
            <w:shd w:fill="F8F9FA" w:val="clear"/>
          </w:tcPr>
          <w:p>
            <w:pPr>
              <w:spacing w:after="60" w:before="60"/>
              <w:jc w:val="left"/>
            </w:pPr>
            <w:r>
              <w:rPr>
                <w:rFonts w:ascii="Calibri" w:cs="Calibri" w:eastAsia="Calibri" w:hAnsi="Calibri"/>
                <w:b/>
                <w:bCs/>
                <w:color w:val="2D2D2D"/>
                <w:sz w:val="20"/>
                <w:szCs w:val="20"/>
              </w:rPr>
              <w:t xml:space="preserve">Production Impact</w:t>
            </w:r>
          </w:p>
        </w:tc>
        <w:tc>
          <w:tcPr>
            <w:tcW w:type="dxa" w:w="5640"/>
            <w:tcBorders>
              <w:top w:val="single" w:color="C5D8EC" w:sz="4"/>
              <w:left w:val="single" w:color="C5D8EC" w:sz="4"/>
              <w:bottom w:val="single" w:color="C5D8EC" w:sz="4"/>
              <w:right w:val="single" w:color="C5D8EC" w:sz="4"/>
            </w:tcBorders>
            <w:shd w:fill="FFFFFF" w:val="clear"/>
          </w:tcPr>
          <w:p>
            <w:pPr>
              <w:spacing w:after="60" w:before="60"/>
              <w:jc w:val="left"/>
            </w:pPr>
            <w:r>
              <w:rPr>
                <w:rFonts w:ascii="Calibri" w:cs="Calibri" w:eastAsia="Calibri" w:hAnsi="Calibri"/>
                <w:b w:val="false"/>
                <w:bCs w:val="false"/>
                <w:color w:val="2D2D2D"/>
                <w:sz w:val="20"/>
                <w:szCs w:val="20"/>
              </w:rPr>
              <w:t xml:space="preserve">93% of enterprise teams report major reliability issues; deployed agents may catch as few as 22% of systematic defects</w:t>
            </w:r>
          </w:p>
        </w:tc>
        <w:tc>
          <w:tcPr>
            <w:tcW w:type="dxa" w:w="1720"/>
            <w:tcBorders>
              <w:top w:val="single" w:color="C5D8EC" w:sz="4"/>
              <w:left w:val="single" w:color="C5D8EC" w:sz="4"/>
              <w:bottom w:val="single" w:color="C5D8EC" w:sz="4"/>
              <w:right w:val="single" w:color="C5D8EC" w:sz="4"/>
            </w:tcBorders>
            <w:shd w:fill="FEF0EF" w:val="clear"/>
          </w:tcPr>
          <w:p>
            <w:pPr>
              <w:spacing w:after="60" w:before="60"/>
              <w:jc w:val="left"/>
            </w:pPr>
            <w:r>
              <w:rPr>
                <w:rFonts w:ascii="Calibri" w:cs="Calibri" w:eastAsia="Calibri" w:hAnsi="Calibri"/>
                <w:b/>
                <w:bCs/>
                <w:color w:val="2D2D2D"/>
                <w:sz w:val="20"/>
                <w:szCs w:val="20"/>
              </w:rPr>
              <w:t xml:space="preserve">Severe</w:t>
            </w:r>
          </w:p>
        </w:tc>
      </w:tr>
    </w:tbl>
    <w:p>
      <w:pPr>
        <w:pStyle w:val="Caption"/>
      </w:pPr>
      <w:r>
        <w:t xml:space="preserve">Table 1: Documented LLM Judge Bias Types and Their Severity</w:t>
      </w:r>
    </w:p>
    <w:p>
      <w:pPr>
        <w:pBdr>
          <w:bottom w:val="single" w:color="C5D8EC" w:sz="6"/>
        </w:pBdr>
        <w:spacing w:after="200" w:before="200"/>
      </w:pPr>
      <w:r>
        <w:t xml:space="preserve"/>
      </w:r>
    </w:p>
    <w:p>
      <w:pPr>
        <w:pStyle w:val="SectionLabel"/>
      </w:pPr>
      <w:r>
        <w:t xml:space="preserve">Section 5</w:t>
      </w:r>
    </w:p>
    <w:p>
      <w:pPr>
        <w:pStyle w:val="Heading1"/>
      </w:pPr>
      <w:r>
        <w:t xml:space="preserve">A Field Guide to Rapidly Improving AI Products (March 2025)</w:t>
      </w:r>
    </w:p>
    <w:p>
      <w:pPr>
        <w:pStyle w:val="BodyText"/>
      </w:pPr>
      <w:r>
        <w:rPr>
          <w:rFonts w:ascii="Calibri" w:cs="Calibri" w:eastAsia="Calibri" w:hAnsi="Calibri"/>
          <w:color w:val="2D2D2D"/>
          <w:sz w:val="22"/>
          <w:szCs w:val="22"/>
        </w:rPr>
        <w:t xml:space="preserve">Published in March 2025 and drawn from Husain's direct experience across more than 30 production AI implementations, this post offers the most operationally concrete guidance in his entire body of work. Its central provocation: "Most AI teams focus on the wrong things." The wrong things, almost universally, are model upgrades. The right thing — almost universally — is rigorous error analysis.</w:t>
      </w:r>
    </w:p>
    <w:p>
      <w:pPr>
        <w:pStyle w:val="Heading2"/>
      </w:pPr>
      <w:r>
        <w:t xml:space="preserve">The Improvement Loop: Error Analysis First</w:t>
      </w:r>
    </w:p>
    <w:p>
      <w:pPr>
        <w:pStyle w:val="BodyText"/>
      </w:pPr>
      <w:r>
        <w:rPr>
          <w:rFonts w:ascii="Calibri" w:cs="Calibri" w:eastAsia="Calibri" w:hAnsi="Calibri"/>
          <w:color w:val="2D2D2D"/>
          <w:sz w:val="22"/>
          <w:szCs w:val="22"/>
        </w:rPr>
        <w:t xml:space="preserve">The core framework of the Field Guide is deceptively simple: Error Analysis → Fix → Evaluate → Repeat. Every element of this loop is important, but error analysis is the most neglected. In Husain's experience, teams that are struggling with AI product quality have almost always not done systematic error analysis. They have complaints from users, vague impressions that "the model is wrong a lot," and no structured understanding of what kinds of failures are occurring and at what frequency.</w:t>
      </w:r>
    </w:p>
    <w:p>
      <w:pPr>
        <w:pStyle w:val="BodyText"/>
      </w:pPr>
      <w:r>
        <w:rPr>
          <w:rFonts w:ascii="Calibri" w:cs="Calibri" w:eastAsia="Calibri" w:hAnsi="Calibri"/>
          <w:color w:val="2D2D2D"/>
          <w:sz w:val="22"/>
          <w:szCs w:val="22"/>
        </w:rPr>
        <w:t xml:space="preserve">Proper error analysis means: taking a representative sample of failures, having domain experts read and categorize them, developing a taxonomy of failure modes, and quantifying the frequency and severity of each category. This is not glamorous work. It involves a lot of reading. But it produces the actionable information that model upgrades, prompt changes, and retrieval improvements can actually address.</w:t>
      </w:r>
    </w:p>
    <w:p>
      <w:pPr>
        <w:pStyle w:val="Heading2"/>
      </w:pPr>
      <w:r>
        <w:t xml:space="preserve">Six Pillars of the Field Guide Framework</w:t>
      </w:r>
    </w:p>
    <w:p>
      <w:pPr>
        <w:pStyle w:val="BodyText"/>
      </w:pPr>
      <w:r>
        <w:rPr>
          <w:rFonts w:ascii="Calibri" w:cs="Calibri" w:eastAsia="Calibri" w:hAnsi="Calibri"/>
          <w:color w:val="2D2D2D"/>
          <w:sz w:val="22"/>
          <w:szCs w:val="22"/>
        </w:rPr>
        <w:t xml:space="preserve">Husain organizes the Field Guide around six pillars that together constitute a complete system for continuous AI product improvement:</w:t>
      </w:r>
    </w:p>
    <w:p>
      <w:pPr>
        <w:pStyle w:val="ListParagraph"/>
        <w:numPr>
          <w:ilvl w:val="0"/>
          <w:numId w:val="5"/>
        </w:numPr>
      </w:pPr>
      <w:r>
        <w:rPr>
          <w:rFonts w:ascii="Calibri" w:cs="Calibri" w:eastAsia="Calibri" w:hAnsi="Calibri"/>
          <w:b/>
          <w:bCs/>
          <w:color w:val="1A3A5C"/>
          <w:sz w:val="22"/>
          <w:szCs w:val="22"/>
        </w:rPr>
        <w:t xml:space="preserve">Start with error analysis, not model upgrades. </w:t>
      </w:r>
      <w:r>
        <w:rPr>
          <w:rFonts w:ascii="Calibri" w:cs="Calibri" w:eastAsia="Calibri" w:hAnsi="Calibri"/>
          <w:color w:val="2D2D2D"/>
          <w:sz w:val="22"/>
          <w:szCs w:val="22"/>
        </w:rPr>
        <w:t xml:space="preserve">Before spending $10,000 on GPT-4 API calls to test a new model version, spend $100 worth of domain-expert time reading failures. You will almost always discover that the problem is prompt clarity, retrieval quality, or edge case handling — not model capability.</w:t>
      </w:r>
    </w:p>
    <w:p>
      <w:pPr>
        <w:pStyle w:val="ListParagraph"/>
        <w:numPr>
          <w:ilvl w:val="0"/>
          <w:numId w:val="5"/>
        </w:numPr>
      </w:pPr>
      <w:r>
        <w:rPr>
          <w:rFonts w:ascii="Calibri" w:cs="Calibri" w:eastAsia="Calibri" w:hAnsi="Calibri"/>
          <w:b/>
          <w:bCs/>
          <w:color w:val="1A3A5C"/>
          <w:sz w:val="22"/>
          <w:szCs w:val="22"/>
        </w:rPr>
        <w:t xml:space="preserve">Empower domain experts, not just engineers. </w:t>
      </w:r>
      <w:r>
        <w:rPr>
          <w:rFonts w:ascii="Calibri" w:cs="Calibri" w:eastAsia="Calibri" w:hAnsi="Calibri"/>
          <w:color w:val="2D2D2D"/>
          <w:sz w:val="22"/>
          <w:szCs w:val="22"/>
        </w:rPr>
        <w:t xml:space="preserve">Engineers are excellent at building systems but often lack the domain knowledge to identify subtle quality failures. A clinical AI that outputs technically grammatical but medically incorrect advice will pass most engineering-level reviews. Domain experts catch what engineers miss.</w:t>
      </w:r>
    </w:p>
    <w:p>
      <w:pPr>
        <w:pStyle w:val="ListParagraph"/>
        <w:numPr>
          <w:ilvl w:val="0"/>
          <w:numId w:val="5"/>
        </w:numPr>
      </w:pPr>
      <w:r>
        <w:rPr>
          <w:rFonts w:ascii="Calibri" w:cs="Calibri" w:eastAsia="Calibri" w:hAnsi="Calibri"/>
          <w:b/>
          <w:bCs/>
          <w:color w:val="1A3A5C"/>
          <w:sz w:val="22"/>
          <w:szCs w:val="22"/>
        </w:rPr>
        <w:t xml:space="preserve">Build the data flywheel. </w:t>
      </w:r>
      <w:r>
        <w:rPr>
          <w:rFonts w:ascii="Calibri" w:cs="Calibri" w:eastAsia="Calibri" w:hAnsi="Calibri"/>
          <w:color w:val="2D2D2D"/>
          <w:sz w:val="22"/>
          <w:szCs w:val="22"/>
        </w:rPr>
        <w:t xml:space="preserve">Every failure your system produces is a training example. An AI product team that builds a pipeline from production failures to curated training data to model improvement compounds its quality advantage over time. Teams that treat every failure as a one-off bug to patch lose this advantage.</w:t>
      </w:r>
    </w:p>
    <w:p>
      <w:pPr>
        <w:pStyle w:val="ListParagraph"/>
        <w:numPr>
          <w:ilvl w:val="0"/>
          <w:numId w:val="5"/>
        </w:numPr>
      </w:pPr>
      <w:r>
        <w:rPr>
          <w:rFonts w:ascii="Calibri" w:cs="Calibri" w:eastAsia="Calibri" w:hAnsi="Calibri"/>
          <w:b/>
          <w:bCs/>
          <w:color w:val="1A3A5C"/>
          <w:sz w:val="22"/>
          <w:szCs w:val="22"/>
        </w:rPr>
        <w:t xml:space="preserve">Use synthetic data strategically. </w:t>
      </w:r>
      <w:r>
        <w:rPr>
          <w:rFonts w:ascii="Calibri" w:cs="Calibri" w:eastAsia="Calibri" w:hAnsi="Calibri"/>
          <w:color w:val="2D2D2D"/>
          <w:sz w:val="22"/>
          <w:szCs w:val="22"/>
        </w:rPr>
        <w:t xml:space="preserve">Synthetic data is more useful than most teams expect, particularly for bootstrapping evaluation datasets in domains where real examples are scarce. The key is using domain experts to validate that synthetic examples reflect real failure patterns.</w:t>
      </w:r>
    </w:p>
    <w:p>
      <w:pPr>
        <w:pStyle w:val="ListParagraph"/>
        <w:numPr>
          <w:ilvl w:val="0"/>
          <w:numId w:val="5"/>
        </w:numPr>
      </w:pPr>
      <w:r>
        <w:rPr>
          <w:rFonts w:ascii="Calibri" w:cs="Calibri" w:eastAsia="Calibri" w:hAnsi="Calibri"/>
          <w:b/>
          <w:bCs/>
          <w:color w:val="1A3A5C"/>
          <w:sz w:val="22"/>
          <w:szCs w:val="22"/>
        </w:rPr>
        <w:t xml:space="preserve">Maintain trust in your evaluation system. </w:t>
      </w:r>
      <w:r>
        <w:rPr>
          <w:rFonts w:ascii="Calibri" w:cs="Calibri" w:eastAsia="Calibri" w:hAnsi="Calibri"/>
          <w:color w:val="2D2D2D"/>
          <w:sz w:val="22"/>
          <w:szCs w:val="22"/>
        </w:rPr>
        <w:t xml:space="preserve">An eval suite that doesn't catch real failures is worse than no eval suite, because it creates false confidence. Teams should periodically audit their evals against fresh human labels to ensure the automated system is still calibrated.</w:t>
      </w:r>
    </w:p>
    <w:p>
      <w:pPr>
        <w:pStyle w:val="ListParagraph"/>
        <w:numPr>
          <w:ilvl w:val="0"/>
          <w:numId w:val="5"/>
        </w:numPr>
      </w:pPr>
      <w:r>
        <w:rPr>
          <w:rFonts w:ascii="Calibri" w:cs="Calibri" w:eastAsia="Calibri" w:hAnsi="Calibri"/>
          <w:b/>
          <w:bCs/>
          <w:color w:val="1A3A5C"/>
          <w:sz w:val="22"/>
          <w:szCs w:val="22"/>
        </w:rPr>
        <w:t xml:space="preserve">Know when to fine-tune vs. when to fix the prompt. </w:t>
      </w:r>
      <w:r>
        <w:rPr>
          <w:rFonts w:ascii="Calibri" w:cs="Calibri" w:eastAsia="Calibri" w:hAnsi="Calibri"/>
          <w:color w:val="2D2D2D"/>
          <w:sz w:val="22"/>
          <w:szCs w:val="22"/>
        </w:rPr>
        <w:t xml:space="preserve">Fine-tuning is expensive, requires evaluation infrastructure, and often doesn't help. "You can often improve an eval score without changing the model." The default should always be prompt improvement and retrieval optimization first.</w:t>
      </w:r>
    </w:p>
    <w:p>
      <w:pPr>
        <w:pStyle w:val="Heading2"/>
      </w:pPr>
      <w:r>
        <w:t xml:space="preserve">The Fine-Tuning Fallacy</w:t>
      </w:r>
    </w:p>
    <w:p>
      <w:pPr>
        <w:pStyle w:val="BodyText"/>
      </w:pPr>
      <w:r>
        <w:rPr>
          <w:rFonts w:ascii="Calibri" w:cs="Calibri" w:eastAsia="Calibri" w:hAnsi="Calibri"/>
          <w:color w:val="2D2D2D"/>
          <w:sz w:val="22"/>
          <w:szCs w:val="22"/>
        </w:rPr>
        <w:t xml:space="preserve">One of the Field Guide's most counterintuitive arguments is its skepticism about fine-tuning as a first resort. The conventional wisdom is that fine-tuning on domain-specific data should produce meaningful quality improvements. Husain's experience is more nuanced: fine-tuning typically improves performance on the examples used for training while degrading on the distribution of real production inputs. Without rigorous evals that cover the full distribution, teams can't detect this degradation — and ship a worse model believing they've improved it.</w:t>
      </w:r>
    </w:p>
    <w:p>
      <w:pPr>
        <w:pStyle w:val="BodyText"/>
      </w:pPr>
      <w:r>
        <w:rPr>
          <w:rFonts w:ascii="Calibri" w:cs="Calibri" w:eastAsia="Calibri" w:hAnsi="Calibri"/>
          <w:color w:val="2D2D2D"/>
          <w:sz w:val="22"/>
          <w:szCs w:val="22"/>
        </w:rPr>
        <w:t xml:space="preserve">The deeper problem is that fine-tuning amplifies the existing evaluation gap. Teams that lack good evals before fine-tuning don't gain the ability to evaluate fine-tuning quality after the fact. They are still flying blind, just with an additional layer of complexity.</w:t>
      </w:r>
    </w:p>
    <w:p>
      <w:pPr>
        <w:pBdr>
          <w:bottom w:val="single" w:color="C5D8EC" w:sz="6"/>
        </w:pBdr>
        <w:spacing w:after="200" w:before="200"/>
      </w:pPr>
      <w:r>
        <w:t xml:space="preserve"/>
      </w:r>
    </w:p>
    <w:p>
      <w:pPr>
        <w:pStyle w:val="SectionLabel"/>
      </w:pPr>
      <w:r>
        <w:t xml:space="preserve">Section 6</w:t>
      </w:r>
    </w:p>
    <w:p>
      <w:pPr>
        <w:pStyle w:val="Heading1"/>
      </w:pPr>
      <w:r>
        <w:t xml:space="preserve">AI Evals: Everything You Need to Know (May 2025)</w:t>
      </w:r>
    </w:p>
    <w:p>
      <w:pPr>
        <w:pStyle w:val="BodyText"/>
      </w:pPr>
      <w:r>
        <w:rPr>
          <w:rFonts w:ascii="Calibri" w:cs="Calibri" w:eastAsia="Calibri" w:hAnsi="Calibri"/>
          <w:color w:val="2D2D2D"/>
          <w:sz w:val="22"/>
          <w:szCs w:val="22"/>
        </w:rPr>
        <w:t xml:space="preserve">Published in May 2025 and described as a "FAQ compiled from 700+ questions from engineers and PMs in my evals course," this post is the most comprehensive reference document in Husain's catalogue. It is structured as a series of sharp, opinionated answers to the questions practitioners actually ask — not the questions academics assume they ask.</w:t>
      </w:r>
    </w:p>
    <w:p>
      <w:pPr>
        <w:pStyle w:val="Heading2"/>
      </w:pPr>
      <w:r>
        <w:t xml:space="preserve">Getting Started: The Minimum Viable Eval</w:t>
      </w:r>
    </w:p>
    <w:p>
      <w:pPr>
        <w:pStyle w:val="BodyText"/>
      </w:pPr>
      <w:r>
        <w:rPr>
          <w:rFonts w:ascii="Calibri" w:cs="Calibri" w:eastAsia="Calibri" w:hAnsi="Calibri"/>
          <w:color w:val="2D2D2D"/>
          <w:sz w:val="22"/>
          <w:szCs w:val="22"/>
        </w:rPr>
        <w:t xml:space="preserve">The FAQ's first section addresses the most common paralysis: teams that know they need evals but don't know where to begin. Husain's answer is characteristically concrete: </w:t>
      </w:r>
      <w:r>
        <w:rPr>
          <w:rFonts w:ascii="Calibri" w:cs="Calibri" w:eastAsia="Calibri" w:hAnsi="Calibri"/>
          <w:b/>
          <w:bCs/>
          <w:color w:val="1A3A5C"/>
          <w:sz w:val="22"/>
          <w:szCs w:val="22"/>
        </w:rPr>
        <w:t xml:space="preserve">start with 20-30 examples from your production logs where users gave negative feedback or where you, as a domain expert, felt the output was wrong.</w:t>
      </w:r>
      <w:r>
        <w:rPr>
          <w:rFonts w:ascii="Calibri" w:cs="Calibri" w:eastAsia="Calibri" w:hAnsi="Calibri"/>
          <w:color w:val="2D2D2D"/>
          <w:sz w:val="22"/>
          <w:szCs w:val="22"/>
        </w:rPr>
        <w:t xml:space="preserve"> Build a pass/fail rubric for the most common failure mode. Run it manually, then automate it. This is your minimum viable eval.</w:t>
      </w:r>
    </w:p>
    <w:p>
      <w:pPr>
        <w:pStyle w:val="BodyText"/>
      </w:pPr>
      <w:r>
        <w:rPr>
          <w:rFonts w:ascii="Calibri" w:cs="Calibri" w:eastAsia="Calibri" w:hAnsi="Calibri"/>
          <w:color w:val="2D2D2D"/>
          <w:sz w:val="22"/>
          <w:szCs w:val="22"/>
        </w:rPr>
        <w:t xml:space="preserve">The key insight is that perfection is the enemy of starting. A rough eval suite that catches 70% of real failures is infinitely more valuable than a perfect eval suite that never gets built. Teams can iterate toward higher coverage once they have the infrastructure.</w:t>
      </w:r>
    </w:p>
    <w:p>
      <w:pPr>
        <w:pStyle w:val="Heading2"/>
      </w:pPr>
      <w:r>
        <w:t xml:space="preserve">Automation Boundaries: What Should and Should Not Be Automated</w:t>
      </w:r>
    </w:p>
    <w:p>
      <w:pPr>
        <w:pStyle w:val="BodyText"/>
      </w:pPr>
      <w:r>
        <w:rPr>
          <w:rFonts w:ascii="Calibri" w:cs="Calibri" w:eastAsia="Calibri" w:hAnsi="Calibri"/>
          <w:color w:val="2D2D2D"/>
          <w:sz w:val="22"/>
          <w:szCs w:val="22"/>
        </w:rPr>
        <w:t xml:space="preserve">One of the most practically important sections addresses the question of which parts of evaluation can be automated with LLMs. Husain's answer is nuanced and worth quoting at length:</w:t>
      </w:r>
    </w:p>
    <w:p>
      <w:pPr>
        <w:pStyle w:val="BlockQuote"/>
      </w:pPr>
      <w:r>
        <w:t xml:space="preserve">"Automate the detection of failures that have clear, definable criteria. Do not automate the identification of failure categories before you understand them yourself. If you let an LLM handle all error analysis, you might overlook failure cases that matter — e.g., an LLM lumps 'lag' under generic 'performance issues' instead of creating a specific 'latency' category."</w:t>
      </w:r>
    </w:p>
    <w:p>
      <w:pPr>
        <w:pStyle w:val="BodyText"/>
      </w:pPr>
      <w:r>
        <w:rPr>
          <w:rFonts w:ascii="Calibri" w:cs="Calibri" w:eastAsia="Calibri" w:hAnsi="Calibri"/>
          <w:color w:val="2D2D2D"/>
          <w:sz w:val="22"/>
          <w:szCs w:val="22"/>
        </w:rPr>
        <w:t xml:space="preserve">This is a subtle but crucial point. LLM judges are good at applying rubrics that humans have defined. They are poor at discovering the rubric categories that matter. Human error analysis must precede automated evaluation — not just validate it.</w:t>
      </w:r>
    </w:p>
    <w:p>
      <w:pPr>
        <w:pStyle w:val="Heading2"/>
      </w:pPr>
      <w:r>
        <w:t xml:space="preserve">RAG Evaluation: Use Traditional IR Metrics</w:t>
      </w:r>
    </w:p>
    <w:p>
      <w:pPr>
        <w:pStyle w:val="BodyText"/>
      </w:pPr>
      <w:r>
        <w:rPr>
          <w:rFonts w:ascii="Calibri" w:cs="Calibri" w:eastAsia="Calibri" w:hAnsi="Calibri"/>
          <w:color w:val="2D2D2D"/>
          <w:sz w:val="22"/>
          <w:szCs w:val="22"/>
        </w:rPr>
        <w:t xml:space="preserve">For RAG systems, the FAQ provides specific and opinionated guidance: use </w:t>
      </w:r>
      <w:r>
        <w:rPr>
          <w:rFonts w:ascii="Calibri" w:cs="Calibri" w:eastAsia="Calibri" w:hAnsi="Calibri"/>
          <w:b/>
          <w:bCs/>
          <w:color w:val="1A3A5C"/>
          <w:sz w:val="22"/>
          <w:szCs w:val="22"/>
        </w:rPr>
        <w:t xml:space="preserve">traditional information retrieval metrics</w:t>
      </w:r>
      <w:r>
        <w:rPr>
          <w:rFonts w:ascii="Calibri" w:cs="Calibri" w:eastAsia="Calibri" w:hAnsi="Calibri"/>
          <w:color w:val="2D2D2D"/>
          <w:sz w:val="22"/>
          <w:szCs w:val="22"/>
        </w:rPr>
        <w:t xml:space="preserve"> rather than LLM judges for retrieval quality. Recall@k, Precision@k, and Mean Reciprocal Rank (MRR) measure whether the retriever is returning relevant documents. These are deterministic, reproducible, and well-understood. An LLM judge evaluating end-to-end RAG quality cannot distinguish between retrieval failures and generation failures, making it useless for diagnosing and fixing problems.</w:t>
      </w:r>
    </w:p>
    <w:p>
      <w:pPr>
        <w:pStyle w:val="Heading2"/>
      </w:pPr>
      <w:r>
        <w:t xml:space="preserve">Agentic Workflow Evaluation</w:t>
      </w:r>
    </w:p>
    <w:p>
      <w:pPr>
        <w:pStyle w:val="BodyText"/>
      </w:pPr>
      <w:r>
        <w:rPr>
          <w:rFonts w:ascii="Calibri" w:cs="Calibri" w:eastAsia="Calibri" w:hAnsi="Calibri"/>
          <w:color w:val="2D2D2D"/>
          <w:sz w:val="22"/>
          <w:szCs w:val="22"/>
        </w:rPr>
        <w:t xml:space="preserve">Evaluating agentic workflows — where an LLM takes sequences of actions to complete a task — requires a different approach than single-turn evaluation. Husain's guidance: define a precise success criterion per task type. "Did the agent correctly complete the task?" is a binary question that, in most cases, can be answered deterministically by checking the state of the system after the agent finishes. The output quality of individual steps is secondary to task completion.</w:t>
      </w:r>
    </w:p>
    <w:p>
      <w:pPr>
        <w:pStyle w:val="BodyText"/>
      </w:pPr>
      <w:r>
        <w:rPr>
          <w:rFonts w:ascii="Calibri" w:cs="Calibri" w:eastAsia="Calibri" w:hAnsi="Calibri"/>
          <w:color w:val="2D2D2D"/>
          <w:sz w:val="22"/>
          <w:szCs w:val="22"/>
        </w:rPr>
        <w:t xml:space="preserve">This has important implications for LLM-as-a-Judge usage in agentic systems: judges that evaluate individual agent turns may miss multi-step failures where each turn looks acceptable but the aggregate sequence produces the wrong outcome. End-to-end task success metrics are more reliable signals than per-turn quality scores.</w:t>
      </w:r>
    </w:p>
    <w:p>
      <w:pPr>
        <w:pStyle w:val="Heading2"/>
      </w:pPr>
      <w:r>
        <w:t xml:space="preserve">"Good Writing is Good Thinking": The Case Against Early Automation</w:t>
      </w:r>
    </w:p>
    <w:p>
      <w:pPr>
        <w:pStyle w:val="BodyText"/>
      </w:pPr>
      <w:r>
        <w:rPr>
          <w:rFonts w:ascii="Calibri" w:cs="Calibri" w:eastAsia="Calibri" w:hAnsi="Calibri"/>
          <w:color w:val="2D2D2D"/>
          <w:sz w:val="22"/>
          <w:szCs w:val="22"/>
        </w:rPr>
        <w:t xml:space="preserve">Perhaps the most philosophically rich section of the FAQ addresses when NOT to use automated evaluation tools. Husain's argument: </w:t>
      </w:r>
      <w:r>
        <w:rPr>
          <w:rFonts w:ascii="Calibri" w:cs="Calibri" w:eastAsia="Calibri" w:hAnsi="Calibri"/>
          <w:b/>
          <w:bCs/>
          <w:color w:val="1A3A5C"/>
          <w:sz w:val="22"/>
          <w:szCs w:val="22"/>
        </w:rPr>
        <w:t xml:space="preserve">"Good writing is good thinking. Good rubric-writing is the same."</w:t>
      </w:r>
      <w:r>
        <w:rPr>
          <w:rFonts w:ascii="Calibri" w:cs="Calibri" w:eastAsia="Calibri" w:hAnsi="Calibri"/>
          <w:color w:val="2D2D2D"/>
          <w:sz w:val="22"/>
          <w:szCs w:val="22"/>
        </w:rPr>
        <w:t xml:space="preserve"> The process of articulating, in precise language, what constitutes a good versus bad AI output forces teams to confront their own ambiguity about what they want. Delegating this process to an LLM too early produces rubrics that no one understands and judges that no one trusts.</w:t>
      </w:r>
    </w:p>
    <w:p>
      <w:pPr>
        <w:pBdr>
          <w:bottom w:val="single" w:color="C5D8EC" w:sz="6"/>
        </w:pBdr>
        <w:spacing w:after="200" w:before="200"/>
      </w:pPr>
      <w:r>
        <w:t xml:space="preserve"/>
      </w:r>
    </w:p>
    <w:p>
      <w:pPr>
        <w:pStyle w:val="SectionLabel"/>
      </w:pPr>
      <w:r>
        <w:t xml:space="preserve">Section 7</w:t>
      </w:r>
    </w:p>
    <w:p>
      <w:pPr>
        <w:pStyle w:val="Heading1"/>
      </w:pPr>
      <w:r>
        <w:t xml:space="preserve">Stop Saying RAG Is Dead (July 2025)</w:t>
      </w:r>
    </w:p>
    <w:p>
      <w:pPr>
        <w:pStyle w:val="BodyText"/>
      </w:pPr>
      <w:r>
        <w:rPr>
          <w:rFonts w:ascii="Calibri" w:cs="Calibri" w:eastAsia="Calibri" w:hAnsi="Calibri"/>
          <w:color w:val="2D2D2D"/>
          <w:sz w:val="22"/>
          <w:szCs w:val="22"/>
        </w:rPr>
        <w:t xml:space="preserve">Published in July 2025, this post is Husain's response to a recurring wave of "RAG is dead" discourse that tends to emerge every time a new long-context model is released. The argument is characteristically precise: the critics are right about naive RAG, wrong about retrieval, and missing the point about evaluation.</w:t>
      </w:r>
    </w:p>
    <w:p>
      <w:pPr>
        <w:pStyle w:val="Heading2"/>
      </w:pPr>
      <w:r>
        <w:t xml:space="preserve">What Deserves to Die: Naive Vector DB + Cosine Similarity</w:t>
      </w:r>
    </w:p>
    <w:p>
      <w:pPr>
        <w:pStyle w:val="BodyText"/>
      </w:pPr>
      <w:r>
        <w:rPr>
          <w:rFonts w:ascii="Calibri" w:cs="Calibri" w:eastAsia="Calibri" w:hAnsi="Calibri"/>
          <w:color w:val="2D2D2D"/>
          <w:sz w:val="22"/>
          <w:szCs w:val="22"/>
        </w:rPr>
        <w:t xml:space="preserve">Husain concedes the critics' best case: the oversimplified RAG pattern that emerged in 2023 — chunk documents into fixed-size pieces, embed them with a general-purpose model, retrieve by cosine similarity — deserves much of the criticism it receives. This pattern fails in predictable ways: it cannot handle multi-hop reasoning, it retrieves semantically similar but factually irrelevant content, and it treats all document chunks as equally valuable regardless of their role in the source text.</w:t>
      </w:r>
    </w:p>
    <w:p>
      <w:pPr>
        <w:pStyle w:val="BodyText"/>
      </w:pPr>
      <w:r>
        <w:rPr>
          <w:rFonts w:ascii="Calibri" w:cs="Calibri" w:eastAsia="Calibri" w:hAnsi="Calibri"/>
          <w:color w:val="2D2D2D"/>
          <w:sz w:val="22"/>
          <w:szCs w:val="22"/>
        </w:rPr>
        <w:t xml:space="preserve">The "naive RAG" failure mode is well-documented: BEIR benchmark models that appear to perform well in academic evaluations frequently fail catastrophically on real retrieval tasks because the benchmark does not capture the distributional characteristics of production queries.</w:t>
      </w:r>
    </w:p>
    <w:p>
      <w:pPr>
        <w:pStyle w:val="Heading2"/>
      </w:pPr>
      <w:r>
        <w:t xml:space="preserve">What Should Not Die: The Primacy of Retrieval</w:t>
      </w:r>
    </w:p>
    <w:p>
      <w:pPr>
        <w:pStyle w:val="BodyText"/>
      </w:pPr>
      <w:r>
        <w:rPr>
          <w:rFonts w:ascii="Calibri" w:cs="Calibri" w:eastAsia="Calibri" w:hAnsi="Calibri"/>
          <w:color w:val="2D2D2D"/>
          <w:sz w:val="22"/>
          <w:szCs w:val="22"/>
        </w:rPr>
        <w:t xml:space="preserve">Husain's core claim is that retrieval is more important than ever, not less. Long-context models have not eliminated the need for retrieval — they have changed its role. When a 2-million-token context window is available, the question becomes: </w:t>
      </w:r>
      <w:r>
        <w:rPr>
          <w:rFonts w:ascii="Calibri" w:cs="Calibri" w:eastAsia="Calibri" w:hAnsi="Calibri"/>
          <w:b/>
          <w:bCs/>
          <w:color w:val="1A3A5C"/>
          <w:sz w:val="22"/>
          <w:szCs w:val="22"/>
        </w:rPr>
        <w:t xml:space="preserve">which documents or passages, out of the millions available, are worth including?</w:t>
      </w:r>
      <w:r>
        <w:rPr>
          <w:rFonts w:ascii="Calibri" w:cs="Calibri" w:eastAsia="Calibri" w:hAnsi="Calibri"/>
          <w:color w:val="2D2D2D"/>
          <w:sz w:val="22"/>
          <w:szCs w:val="22"/>
        </w:rPr>
        <w:t xml:space="preserve"> That is still a retrieval problem. Context management — deciding what information belongs in the context window for a given query — is a harder version of the retrieval problem, not a replacement for it.</w:t>
      </w:r>
    </w:p>
    <w:p>
      <w:pPr>
        <w:pStyle w:val="Heading2"/>
      </w:pPr>
      <w:r>
        <w:t xml:space="preserve">RAG Evaluation Goals</w:t>
      </w:r>
    </w:p>
    <w:p>
      <w:pPr>
        <w:pStyle w:val="BodyText"/>
      </w:pPr>
      <w:r>
        <w:rPr>
          <w:rFonts w:ascii="Calibri" w:cs="Calibri" w:eastAsia="Calibri" w:hAnsi="Calibri"/>
          <w:color w:val="2D2D2D"/>
          <w:sz w:val="22"/>
          <w:szCs w:val="22"/>
        </w:rPr>
        <w:t xml:space="preserve">Husain articulates three specific evaluation goals for RAG systems that together constitute a rigorous evaluation framework:</w: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BodyText"/>
      </w:pPr>
      <w:r>
        <w:rPr>
          <w:rFonts w:ascii="Calibri" w:cs="Calibri" w:eastAsia="Calibri" w:hAnsi="Calibri"/>
          <w:color w:val="2D2D2D"/>
          <w:sz w:val="22"/>
          <w:szCs w:val="22"/>
        </w:rPr>
        <w:t xml:space="preserve">These three goals are in tension with each other (maximum coverage often reduces relevance), which is precisely why RAG evaluation cannot be collapsed into a single LLM-judge score. Each dimension requires its own metric and its own threshold.</w:t>
      </w:r>
    </w:p>
    <w:p>
      <w:pPr>
        <w:pStyle w:val="Heading2"/>
      </w:pPr>
      <w:r>
        <w:t xml:space="preserve">Beyond Naive RAG: Modern Retrieval Architecture</w:t>
      </w:r>
    </w:p>
    <w:p>
      <w:pPr>
        <w:pStyle w:val="BodyText"/>
      </w:pPr>
      <w:r>
        <w:rPr>
          <w:rFonts w:ascii="Calibri" w:cs="Calibri" w:eastAsia="Calibri" w:hAnsi="Calibri"/>
          <w:color w:val="2D2D2D"/>
          <w:sz w:val="22"/>
          <w:szCs w:val="22"/>
        </w:rPr>
        <w:t xml:space="preserve">The post concludes with a forward-looking view of retrieval architectures that address the limitations of naive approaches: agentic RAG (where the retrieval query is refined iteratively by the model), late-interaction models (ColBERT-style architectures that preserve token-level matching), and multi-modal retrieval (combining text, image, and structured data retrieval). Each of these approaches is more complex to evaluate than naive RAG — which reinforces rather than undermines Husain's central argument about the necessity of rigorous, domain-specific evals.</w:t>
      </w:r>
    </w:p>
    <w:p>
      <w:pPr>
        <w:pBdr>
          <w:bottom w:val="single" w:color="C5D8EC" w:sz="6"/>
        </w:pBdr>
        <w:spacing w:after="200" w:before="200"/>
      </w:pPr>
      <w:r>
        <w:t xml:space="preserve"/>
      </w:r>
    </w:p>
    <w:p>
      <w:pPr>
        <w:pStyle w:val="SectionLabel"/>
      </w:pPr>
      <w:r>
        <w:t xml:space="preserve">Section 8</w:t>
      </w:r>
    </w:p>
    <w:p>
      <w:pPr>
        <w:pStyle w:val="Heading1"/>
      </w:pPr>
      <w:r>
        <w:t xml:space="preserve">Evals Skills for Coding Agents (March 2026)</w:t>
      </w:r>
    </w:p>
    <w:p>
      <w:pPr>
        <w:pStyle w:val="BodyText"/>
      </w:pPr>
      <w:r>
        <w:rPr>
          <w:rFonts w:ascii="Calibri" w:cs="Calibri" w:eastAsia="Calibri" w:hAnsi="Calibri"/>
          <w:color w:val="2D2D2D"/>
          <w:sz w:val="22"/>
          <w:szCs w:val="22"/>
        </w:rPr>
        <w:t xml:space="preserve">Published in March 2026, this post represents a significant maturation in Husain's thinking about evaluation: the move from evaluation as a human-led activity to evaluation as an activity that AI agents can assist with. The open-source </w:t>
      </w:r>
      <w:r>
        <w:rPr>
          <w:rFonts w:ascii="Calibri" w:cs="Calibri" w:eastAsia="Calibri" w:hAnsi="Calibri"/>
          <w:b/>
          <w:bCs/>
          <w:color w:val="1A3A5C"/>
          <w:sz w:val="22"/>
          <w:szCs w:val="22"/>
        </w:rPr>
        <w:t xml:space="preserve">evals-skills plugin</w:t>
      </w:r>
      <w:r>
        <w:rPr>
          <w:rFonts w:ascii="Calibri" w:cs="Calibri" w:eastAsia="Calibri" w:hAnsi="Calibri"/>
          <w:color w:val="2D2D2D"/>
          <w:sz w:val="22"/>
          <w:szCs w:val="22"/>
        </w:rPr>
        <w:t xml:space="preserve"> (github.com/hamelsmu/evals-skills) gives coding agents — Claude Code, Codex, and similar tools — the ability to audit and improve evaluation pipelines autonomously.</w:t>
      </w:r>
    </w:p>
    <w:p>
      <w:pPr>
        <w:pStyle w:val="Heading2"/>
      </w:pPr>
      <w:r>
        <w:t xml:space="preserve">The Problem: Eval Pipelines Accumulate Technical Debt</w:t>
      </w:r>
    </w:p>
    <w:p>
      <w:pPr>
        <w:pStyle w:val="BodyText"/>
      </w:pPr>
      <w:r>
        <w:rPr>
          <w:rFonts w:ascii="Calibri" w:cs="Calibri" w:eastAsia="Calibri" w:hAnsi="Calibri"/>
          <w:color w:val="2D2D2D"/>
          <w:sz w:val="22"/>
          <w:szCs w:val="22"/>
        </w:rPr>
        <w:t xml:space="preserve">Evaluation pipelines, like all software, accumulate technical debt. Rubrics written for an early version of the product become stale as the product evolves. Coverage of the error taxonomy deteriorates as new failure modes emerge. LLM judge prompts that were carefully validated against human labels drift as the model being judged is updated. In a mature AI product organization, maintaining eval quality is a significant ongoing engineering investment.</w:t>
      </w:r>
    </w:p>
    <w:p>
      <w:pPr>
        <w:pStyle w:val="BodyText"/>
      </w:pPr>
      <w:r>
        <w:rPr>
          <w:rFonts w:ascii="Calibri" w:cs="Calibri" w:eastAsia="Calibri" w:hAnsi="Calibri"/>
          <w:color w:val="2D2D2D"/>
          <w:sz w:val="22"/>
          <w:szCs w:val="22"/>
        </w:rPr>
        <w:t xml:space="preserve">The evals-skills plugin addresses this problem by giving coding agents structured diagnostic capabilities. Rather than requiring human engineers to audit the eval pipeline periodically, the agent can run a systematic investigation and produce a prioritized report of problems and recommended fixes.</w:t>
      </w:r>
    </w:p>
    <w:p>
      <w:pPr>
        <w:pStyle w:val="Heading2"/>
      </w:pPr>
      <w:r>
        <w:t xml:space="preserve">Six Diagnostic Areas</w:t>
      </w:r>
    </w:p>
    <w:p>
      <w:pPr>
        <w:pStyle w:val="BodyText"/>
      </w:pPr>
      <w:r>
        <w:rPr>
          <w:rFonts w:ascii="Calibri" w:cs="Calibri" w:eastAsia="Calibri" w:hAnsi="Calibri"/>
          <w:color w:val="2D2D2D"/>
          <w:sz w:val="22"/>
          <w:szCs w:val="22"/>
        </w:rPr>
        <w:t xml:space="preserve">The plugin structures its audit around six diagnostic areas that together cover the full evaluation lifecycle:</w: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Heading2"/>
      </w:pPr>
      <w:r>
        <w:t xml:space="preserve">How It Works: Parallel Subagent Investigation</w:t>
      </w:r>
    </w:p>
    <w:p>
      <w:pPr>
        <w:pStyle w:val="BodyText"/>
      </w:pPr>
      <w:r>
        <w:rPr>
          <w:rFonts w:ascii="Calibri" w:cs="Calibri" w:eastAsia="Calibri" w:hAnsi="Calibri"/>
          <w:color w:val="2D2D2D"/>
          <w:sz w:val="22"/>
          <w:szCs w:val="22"/>
        </w:rPr>
        <w:t xml:space="preserve">The eval-audit command triggers a </w:t>
      </w:r>
      <w:r>
        <w:rPr>
          <w:rFonts w:ascii="Calibri" w:cs="Calibri" w:eastAsia="Calibri" w:hAnsi="Calibri"/>
          <w:b/>
          <w:bCs/>
          <w:color w:val="1A3A5C"/>
          <w:sz w:val="22"/>
          <w:szCs w:val="22"/>
        </w:rPr>
        <w:t xml:space="preserve">parallel subagent investigation</w:t>
      </w:r>
      <w:r>
        <w:rPr>
          <w:rFonts w:ascii="Calibri" w:cs="Calibri" w:eastAsia="Calibri" w:hAnsi="Calibri"/>
          <w:color w:val="2D2D2D"/>
          <w:sz w:val="22"/>
          <w:szCs w:val="22"/>
        </w:rPr>
        <w:t xml:space="preserve"> across all six diagnostic areas. Each subagent independently examines its designated area, gathers evidence, and formulates findings. The results are then synthesized into a single prioritized report that identifies the highest-impact problems and recommends concrete next steps.</w:t>
      </w:r>
    </w:p>
    <w:p>
      <w:pPr>
        <w:pStyle w:val="BodyText"/>
      </w:pPr>
      <w:r>
        <w:rPr>
          <w:rFonts w:ascii="Calibri" w:cs="Calibri" w:eastAsia="Calibri" w:hAnsi="Calibri"/>
          <w:color w:val="2D2D2D"/>
          <w:sz w:val="22"/>
          <w:szCs w:val="22"/>
        </w:rPr>
        <w:t xml:space="preserve">This architecture reflects a deeper insight: the skills required for rigorous evaluation are learnable, documentable, and thus teachable to AI agents. Husain is essentially encoding his own evaluation expertise into a tool that can be applied at scale across organizations that don't have a Hamel Husain on staff. This is the logical endpoint of the democratization project that began with his evals course.</w:t>
      </w:r>
    </w:p>
    <w:p>
      <w:pPr>
        <w:pBdr>
          <w:bottom w:val="single" w:color="C5D8EC" w:sz="6"/>
        </w:pBdr>
        <w:spacing w:after="200" w:before="200"/>
      </w:pPr>
      <w:r>
        <w:t xml:space="preserve"/>
      </w:r>
    </w:p>
    <w:p>
      <w:pPr>
        <w:pStyle w:val="SectionLabel"/>
      </w:pPr>
      <w:r>
        <w:t xml:space="preserve">Section 9</w:t>
      </w:r>
    </w:p>
    <w:p>
      <w:pPr>
        <w:pStyle w:val="Heading1"/>
      </w:pPr>
      <w:r>
        <w:t xml:space="preserve">"It's Hard to Eval" Is a Product Smell (June 2026)</w:t>
      </w:r>
    </w:p>
    <w:p>
      <w:pPr>
        <w:pStyle w:val="BodyText"/>
      </w:pPr>
      <w:r>
        <w:rPr>
          <w:rFonts w:ascii="Calibri" w:cs="Calibri" w:eastAsia="Calibri" w:hAnsi="Calibri"/>
          <w:color w:val="2D2D2D"/>
          <w:sz w:val="22"/>
          <w:szCs w:val="22"/>
        </w:rPr>
        <w:t xml:space="preserve">Published in June 2026, this is perhaps the most philosophically provocative post in Husain's catalogue. Its thesis challenges a deeply held assumption of the AI engineering community: that evaluation difficulty is an inherent property of the domain, to be managed with better tools. Husain's counterproposal: evaluation difficulty is almost always a product design problem.</w:t>
      </w:r>
    </w:p>
    <w:p>
      <w:pPr>
        <w:pStyle w:val="Heading2"/>
      </w:pPr>
      <w:r>
        <w:t xml:space="preserve">The Central Argument: Hard to Eval = Hard to Use</w:t>
      </w:r>
    </w:p>
    <w:p>
      <w:pPr>
        <w:pStyle w:val="BodyText"/>
      </w:pPr>
      <w:r>
        <w:rPr>
          <w:rFonts w:ascii="Calibri" w:cs="Calibri" w:eastAsia="Calibri" w:hAnsi="Calibri"/>
          <w:color w:val="2D2D2D"/>
          <w:sz w:val="22"/>
          <w:szCs w:val="22"/>
        </w:rPr>
        <w:t xml:space="preserve">The argument is deceptively simple: </w:t>
      </w:r>
      <w:r>
        <w:rPr>
          <w:rFonts w:ascii="Calibri" w:cs="Calibri" w:eastAsia="Calibri" w:hAnsi="Calibri"/>
          <w:b/>
          <w:bCs/>
          <w:color w:val="1A3A5C"/>
          <w:sz w:val="22"/>
          <w:szCs w:val="22"/>
        </w:rPr>
        <w:t xml:space="preserve">"Artifacts that are hard for you to verify are often hard for users too."</w:t>
      </w:r>
      <w:r>
        <w:rPr>
          <w:rFonts w:ascii="Calibri" w:cs="Calibri" w:eastAsia="Calibri" w:hAnsi="Calibri"/>
          <w:color w:val="2D2D2D"/>
          <w:sz w:val="22"/>
          <w:szCs w:val="22"/>
        </w:rPr>
        <w:t xml:space="preserve"> If your team — with full access to the system, its inputs and outputs, and domain expertise — cannot quickly determine whether the AI output is good, your users are in the same position, or worse. </w:t>
      </w:r>
    </w:p>
    <w:p>
      <w:pPr>
        <w:pStyle w:val="BodyText"/>
      </w:pPr>
      <w:r>
        <w:rPr>
          <w:rFonts w:ascii="Calibri" w:cs="Calibri" w:eastAsia="Calibri" w:hAnsi="Calibri"/>
          <w:color w:val="2D2D2D"/>
          <w:sz w:val="22"/>
          <w:szCs w:val="22"/>
        </w:rPr>
        <w:t xml:space="preserve">The worst case Husain describes is when </w:t>
      </w:r>
      <w:r>
        <w:rPr>
          <w:rFonts w:ascii="Calibri" w:cs="Calibri" w:eastAsia="Calibri" w:hAnsi="Calibri"/>
          <w:b/>
          <w:bCs/>
          <w:color w:val="1A3A5C"/>
          <w:sz w:val="22"/>
          <w:szCs w:val="22"/>
        </w:rPr>
        <w:t xml:space="preserve">"users have to redo the work from scratch to verify the output."</w:t>
      </w:r>
      <w:r>
        <w:rPr>
          <w:rFonts w:ascii="Calibri" w:cs="Calibri" w:eastAsia="Calibri" w:hAnsi="Calibri"/>
          <w:color w:val="2D2D2D"/>
          <w:sz w:val="22"/>
          <w:szCs w:val="22"/>
        </w:rPr>
        <w:t xml:space="preserve"> This is not a hypothetical scenario: AI-generated legal documents that require lawyer review, AI-generated code that requires re-reading the entire codebase to check correctness, AI-generated analyses that require re-running the original analysis to verify. In each of these cases, the AI output reduces the total amount of work to near zero — because the verification cost equals or exceeds the creation cost.</w:t>
      </w:r>
    </w:p>
    <w:p>
      <w:pPr>
        <w:pStyle w:val="Heading2"/>
      </w:pPr>
      <w:r>
        <w:t xml:space="preserve">Designing for Verifiability</w:t>
      </w:r>
    </w:p>
    <w:p>
      <w:pPr>
        <w:pStyle w:val="BodyText"/>
      </w:pPr>
      <w:r>
        <w:rPr>
          <w:rFonts w:ascii="Calibri" w:cs="Calibri" w:eastAsia="Calibri" w:hAnsi="Calibri"/>
          <w:color w:val="2D2D2D"/>
          <w:sz w:val="22"/>
          <w:szCs w:val="22"/>
        </w:rPr>
        <w:t xml:space="preserve">The practical implication of this argument is that product design decisions should be evaluated on verifiability before evaluation infrastructure is built. Husain suggests several design patterns that make outputs more verifiable:</w: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ListParagraph"/>
        <w:numPr>
          <w:ilvl w:val="0"/>
          <w:numId w:val="3"/>
        </w:numPr>
      </w:pPr>
      <w:r>
        <w:rPr>
          <w:rFonts w:ascii="Calibri" w:cs="Calibri" w:eastAsia="Calibri" w:hAnsi="Calibri"/>
          <w:b w:val="false"/>
          <w:bCs w:val="false"/>
          <w:color w:val="2D2D2D"/>
          <w:sz w:val="22"/>
          <w:szCs w:val="22"/>
        </w:rPr>
        <w:t xml:space="default"/>
      </w:r>
    </w:p>
    <w:p>
      <w:pPr>
        <w:pStyle w:val="Heading2"/>
      </w:pPr>
      <w:r>
        <w:t xml:space="preserve">Implications for Product Managers</w:t>
      </w:r>
    </w:p>
    <w:p>
      <w:pPr>
        <w:pStyle w:val="BodyText"/>
      </w:pPr>
      <w:r>
        <w:rPr>
          <w:rFonts w:ascii="Calibri" w:cs="Calibri" w:eastAsia="Calibri" w:hAnsi="Calibri"/>
          <w:color w:val="2D2D2D"/>
          <w:sz w:val="22"/>
          <w:szCs w:val="22"/>
        </w:rPr>
        <w:t xml:space="preserve">Husain is explicit that this argument is addressed as much to product managers as to engineers. The decision to build an AI feature that produces complex, hard-to-verify outputs is a product decision — and it should be made with full awareness of the evaluation and user-experience consequences. A product that requires AI outputs to be verified by experts every time may be technically impressive but commercially useless.</w:t>
      </w:r>
    </w:p>
    <w:p>
      <w:pPr>
        <w:pStyle w:val="BodyText"/>
      </w:pPr>
      <w:r>
        <w:rPr>
          <w:rFonts w:ascii="Calibri" w:cs="Calibri" w:eastAsia="Calibri" w:hAnsi="Calibri"/>
          <w:color w:val="2D2D2D"/>
          <w:sz w:val="22"/>
          <w:szCs w:val="22"/>
        </w:rPr>
        <w:t xml:space="preserve">The "product smell" framing is intentional: it borrows the vocabulary of code smells in software engineering — patterns that indicate deeper structural problems that should be addressed before building more features on top. "It's hard to eval" is a signal to step back and rethink product design, not a constraint to be engineered around.</w:t>
      </w:r>
    </w:p>
    <w:p>
      <w:pPr>
        <w:pBdr>
          <w:bottom w:val="single" w:color="C5D8EC" w:sz="6"/>
        </w:pBdr>
        <w:spacing w:after="200" w:before="200"/>
      </w:pPr>
      <w:r>
        <w:t xml:space="preserve"/>
      </w:r>
    </w:p>
    <w:p>
      <w:pPr>
        <w:spacing w:after="80" w:before="4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none" w:color="FFFFFF" w:sz="0"/>
              <w:bottom w:val="single" w:color="1A3A5C" w:sz="8"/>
              <w:right w:val="none" w:color="FFFFFF" w:sz="0"/>
            </w:tcBorders>
            <w:shd w:fill="EEF3F8" w:val="clear"/>
          </w:tcPr>
          <w:p>
            <w:pPr>
              <w:spacing w:after="80" w:before="160"/>
              <w:jc w:val="center"/>
            </w:pPr>
            <w:r>
              <w:rPr>
                <w:rFonts w:ascii="Calibri" w:cs="Calibri" w:eastAsia="Calibri" w:hAnsi="Calibri"/>
                <w:b/>
                <w:bCs/>
                <w:i/>
                <w:iCs/>
                <w:color w:val="1A3A5C"/>
                <w:sz w:val="28"/>
                <w:szCs w:val="28"/>
              </w:rPr>
              <w:t xml:space="preserve">"Bring data science back to AI. Debug it. Analyze it. Measure it."</w:t>
            </w:r>
          </w:p>
          <w:p>
            <w:pPr>
              <w:spacing w:after="160" w:before="0"/>
              <w:jc w:val="center"/>
            </w:pPr>
            <w:r>
              <w:rPr>
                <w:rFonts w:ascii="Calibri" w:cs="Calibri" w:eastAsia="Calibri" w:hAnsi="Calibri"/>
                <w:color w:val="4A7FA5"/>
                <w:sz w:val="22"/>
                <w:szCs w:val="22"/>
              </w:rPr>
              <w:t xml:space="preserve">— Hamel Husain</w:t>
            </w:r>
          </w:p>
        </w:tc>
      </w:tr>
    </w:tbl>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4"/>
      </w:pBdr>
      <w:spacing w:before="120"/>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r>
      <w:rPr>
        <w:rFonts w:ascii="Calibri" w:cs="Calibri" w:eastAsia="Calibri" w:hAnsi="Calibri"/>
        <w:color w:val="999999"/>
        <w:sz w:val="18"/>
        <w:szCs w:val="18"/>
      </w:rPr>
      <w:t xml:space="preserve">  |  AI Evaluation Guide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C" w:sz="4"/>
      </w:pBdr>
      <w:spacing w:after="120"/>
      <w:jc w:val="right"/>
    </w:pPr>
    <w:r>
      <w:rPr>
        <w:rFonts w:ascii="Calibri" w:cs="Calibri" w:eastAsia="Calibri" w:hAnsi="Calibri"/>
        <w:i/>
        <w:iCs/>
        <w:color w:val="4A7FA5"/>
        <w:sz w:val="18"/>
        <w:szCs w:val="18"/>
      </w:rPr>
      <w:t xml:space="preserve">Hamel Husain's Body of Work on AI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abstractNum w:abstractNumId="5" w15:restartNumberingAfterBreak="0">
    <w:multiLevelType w:val="hybridMultilevel"/>
    <w:lvl w:ilvl="0" w15:tentative="1">
      <w:start w:val="1"/>
      <w:numFmt w:val="decimal"/>
      <w:lvlText w:val="%1."/>
      <w:lvlJc w:val="left"/>
      <w:pPr>
        <w:spacing w:after="80"/>
        <w:ind w:left="720" w:hanging="360"/>
      </w:pPr>
    </w:lvl>
  </w:abstractNum>
  <w:abstractNum w:abstractNumId="6" w15:restartNumberingAfterBreak="0">
    <w:multiLevelType w:val="hybridMultilevel"/>
    <w:lvl w:ilvl="0" w15:tentative="1">
      <w:start w:val="1"/>
      <w:numFmt w:val="decimal"/>
      <w:lvlText w:val="%1."/>
      <w:lvlJc w:val="left"/>
      <w:pPr>
        <w:spacing w:after="80"/>
        <w:ind w:left="720" w:hanging="360"/>
      </w:pPr>
    </w:lvl>
  </w:abstractNum>
  <w:abstractNum w:abstractNumId="7" w15:restartNumberingAfterBreak="0">
    <w:multiLevelType w:val="hybridMultilevel"/>
    <w:lvl w:ilvl="0" w15:tentative="1">
      <w:start w:val="1"/>
      <w:numFmt w:val="decimal"/>
      <w:lvlText w:val="%1."/>
      <w:lvlJc w:val="left"/>
      <w:pPr>
        <w:spacing w:after="80"/>
        <w:ind w:left="720" w:hanging="360"/>
      </w:pPr>
    </w:lvl>
  </w:abstractNum>
  <w:abstractNum w:abstractNumId="8" w15:restartNumberingAfterBreak="0">
    <w:multiLevelType w:val="hybridMultilevel"/>
    <w:lvl w:ilvl="0" w15:tentative="1">
      <w:start w:val="1"/>
      <w:numFmt w:val="decimal"/>
      <w:lvlText w:val="%1."/>
      <w:lvlJc w:val="left"/>
      <w:pPr>
        <w:spacing w:after="80"/>
        <w:ind w:left="720" w:hanging="360"/>
      </w:pPr>
    </w:lvl>
  </w:abstractNum>
  <w:abstractNum w:abstractNumId="9"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200" w:before="400"/>
      <w:jc w:val="center"/>
    </w:pPr>
    <w:rPr>
      <w:rFonts w:ascii="Calibri" w:cs="Calibri" w:eastAsia="Calibri" w:hAnsi="Calibri"/>
      <w:b/>
      <w:bCs/>
      <w:color w:val="1A3A5C"/>
      <w:sz w:val="52"/>
      <w:szCs w:val="52"/>
    </w:rPr>
  </w:style>
  <w:style w:type="paragraph" w:styleId="DocSubtitle">
    <w:name w:val="Doc Subtitle"/>
    <w:basedOn w:val="Normal"/>
    <w:qFormat/>
    <w:pPr>
      <w:spacing w:after="400" w:before="100"/>
      <w:jc w:val="center"/>
    </w:pPr>
    <w:rPr>
      <w:rFonts w:ascii="Calibri" w:cs="Calibri" w:eastAsia="Calibri" w:hAnsi="Calibri"/>
      <w:i/>
      <w:iCs/>
      <w:color w:val="4A7FA5"/>
      <w:sz w:val="26"/>
      <w:szCs w:val="26"/>
    </w:rPr>
  </w:style>
  <w:style w:type="paragraph" w:styleId="SectionLabel">
    <w:name w:val="Section Label"/>
    <w:basedOn w:val="Normal"/>
    <w:qFormat/>
    <w:pPr>
      <w:spacing w:after="60" w:before="320"/>
    </w:pPr>
    <w:rPr>
      <w:rFonts w:ascii="Calibri" w:cs="Calibri" w:eastAsia="Calibri" w:hAnsi="Calibri"/>
      <w:b/>
      <w:bCs/>
      <w:caps/>
      <w:color w:val="4A7FA5"/>
      <w:sz w:val="16"/>
      <w:szCs w:val="16"/>
    </w:rPr>
  </w:style>
  <w:style w:type="paragraph" w:styleId="Heading1">
    <w:name w:val="Heading 1"/>
    <w:basedOn w:val="Normal"/>
    <w:next w:val="Normal"/>
    <w:qFormat/>
    <w:pPr>
      <w:spacing w:after="120" w:before="40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2B5A8A"/>
      <w:sz w:val="24"/>
      <w:szCs w:val="24"/>
    </w:rPr>
  </w:style>
  <w:style w:type="paragraph" w:styleId="Heading3">
    <w:name w:val="Heading 3"/>
    <w:basedOn w:val="Normal"/>
    <w:next w:val="Normal"/>
    <w:qFormat/>
    <w:pPr>
      <w:spacing w:after="60" w:before="200"/>
      <w:outlineLvl w:val="2"/>
    </w:pPr>
    <w:rPr>
      <w:rFonts w:ascii="Calibri" w:cs="Calibri" w:eastAsia="Calibri" w:hAnsi="Calibri"/>
      <w:b/>
      <w:bCs/>
      <w:i/>
      <w:iCs/>
      <w:color w:val="3A6EA5"/>
      <w:sz w:val="22"/>
      <w:szCs w:val="22"/>
    </w:rPr>
  </w:style>
  <w:style w:type="paragraph" w:styleId="BodyText">
    <w:name w:val="Body Text"/>
    <w:basedOn w:val="Normal"/>
    <w:pPr>
      <w:spacing w:after="160" w:line="288"/>
      <w:jc w:val="both"/>
    </w:pPr>
    <w:rPr>
      <w:rFonts w:ascii="Calibri" w:cs="Calibri" w:eastAsia="Calibri" w:hAnsi="Calibri"/>
      <w:color w:val="2D2D2D"/>
      <w:sz w:val="22"/>
      <w:szCs w:val="22"/>
    </w:rPr>
  </w:style>
  <w:style w:type="paragraph" w:styleId="BlockQuote">
    <w:name w:val="Block Quote"/>
    <w:basedOn w:val="Normal"/>
    <w:pPr>
      <w:spacing w:after="120" w:before="120" w:line="288"/>
      <w:ind w:left="720" w:right="360"/>
      <w:jc w:val="both"/>
    </w:pPr>
    <w:rPr>
      <w:rFonts w:ascii="Calibri" w:cs="Calibri" w:eastAsia="Calibri" w:hAnsi="Calibri"/>
      <w:i/>
      <w:iCs/>
      <w:color w:val="3A6EA5"/>
      <w:sz w:val="22"/>
      <w:szCs w:val="22"/>
    </w:rPr>
  </w:style>
  <w:style w:type="paragraph" w:styleId="StatCallout">
    <w:name w:val="Stat Callout"/>
    <w:basedOn w:val="Normal"/>
    <w:pPr>
      <w:spacing w:after="80" w:before="80"/>
    </w:pPr>
    <w:rPr>
      <w:rFonts w:ascii="Calibri" w:cs="Calibri" w:eastAsia="Calibri" w:hAnsi="Calibri"/>
      <w:b/>
      <w:bCs/>
      <w:color w:val="C0392B"/>
      <w:sz w:val="22"/>
      <w:szCs w:val="22"/>
    </w:rPr>
  </w:style>
  <w:style w:type="paragraph" w:styleId="Caption">
    <w:name w:val="Caption"/>
    <w:basedOn w:val="Normal"/>
    <w:pPr>
      <w:spacing w:after="160" w:before="60"/>
      <w:jc w:val="center"/>
    </w:pPr>
    <w:rPr>
      <w:rFonts w:ascii="Calibri" w:cs="Calibri" w:eastAsia="Calibri" w:hAnsi="Calibri"/>
      <w:i/>
      <w:iCs/>
      <w:color w:val="666666"/>
      <w:sz w:val="18"/>
      <w:szCs w:val="18"/>
    </w:rPr>
  </w:style>
  <w:style w:type="character" w:styleId="InlineCode">
    <w:name w:val="Inline Code"/>
    <w:uiPriority w:val="99"/>
    <w:unhideWhenUsed/>
    <w:rPr>
      <w:rFonts w:ascii="Consolas" w:cs="Consolas" w:eastAsia="Consolas" w:hAnsi="Consolas"/>
      <w:color w:val="1A3A5C"/>
      <w:sz w:val="20"/>
      <w:szCs w:val="20"/>
      <w:shd w:fill="EEF3F8"/>
    </w:rPr>
  </w:style>
  <w:style w:type="character" w:styleId="Emphasis">
    <w:name w:val="Emphasis"/>
    <w:uiPriority w:val="99"/>
    <w:unhideWhenUsed/>
    <w:rPr>
      <w:b/>
      <w:bCs/>
      <w:color w:val="1A3A5C"/>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C5CD3F-A41B-4D87-875B-4EB13A41E92E}">
  <we:reference id="WA200010615" version="1.0.10036.0" store="en-us" storeType="OMEX"/>
  <we:alternateReferences/>
  <we:properties>
    <we:property name="Office.AutoShowTaskpaneWithDocument" value="true"/>
    <we:property name="conversationId" value="&quot;d096b1d6-ac12-43d3-93a0-37efe1ade4e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2026-09-04T15:29:48.970Z</dcterms:created>
  <dcterms:modified xsi:type="dcterms:W3CDTF">2026-09-04T15:29:48.970Z</dcterms:modified>
</cp:coreProperties>
</file>

<file path=docProps/custom.xml><?xml version="1.0" encoding="utf-8"?>
<Properties xmlns="http://schemas.openxmlformats.org/officeDocument/2006/custom-properties" xmlns:vt="http://schemas.openxmlformats.org/officeDocument/2006/docPropsVTypes"/>
</file>