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31.2" w:lineRule="auto"/>
        <w:ind w:right="-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Nacional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Autónoma de México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  <w:sz w:val="18"/>
          <w:szCs w:val="18"/>
        </w:rPr>
        <w:sectPr>
          <w:pgSz w:h="16834" w:w="11909"/>
          <w:pgMar w:bottom="1440" w:top="1133.8582677165355" w:left="1440" w:right="1440" w:header="720" w:footer="720"/>
          <w:pgNumType w:start="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332133" cy="15049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133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114300</wp:posOffset>
            </wp:positionV>
            <wp:extent cx="1396897" cy="15612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897" cy="156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  <w:color w:val="1f3864"/>
          <w:sz w:val="40"/>
          <w:szCs w:val="40"/>
        </w:rPr>
      </w:pPr>
      <w:r w:rsidDel="00000000" w:rsidR="00000000" w:rsidRPr="00000000">
        <w:rPr>
          <w:b w:val="1"/>
          <w:color w:val="1f3864"/>
          <w:sz w:val="40"/>
          <w:szCs w:val="40"/>
          <w:rtl w:val="0"/>
        </w:rPr>
        <w:t xml:space="preserve">Alumnos:                                                           </w:t>
      </w:r>
    </w:p>
    <w:p w:rsidR="00000000" w:rsidDel="00000000" w:rsidP="00000000" w:rsidRDefault="00000000" w:rsidRPr="00000000" w14:paraId="00000008">
      <w:pPr>
        <w:spacing w:after="200" w:lineRule="auto"/>
        <w:rPr>
          <w:b w:val="1"/>
          <w:color w:val="1f3864"/>
          <w:sz w:val="44"/>
          <w:szCs w:val="44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Castro Molano Rámses </w:t>
      </w:r>
    </w:p>
    <w:p w:rsidR="00000000" w:rsidDel="00000000" w:rsidP="00000000" w:rsidRDefault="00000000" w:rsidRPr="00000000" w14:paraId="00000009">
      <w:pPr>
        <w:spacing w:after="200" w:lineRule="auto"/>
        <w:rPr>
          <w:b w:val="1"/>
          <w:color w:val="1f3864"/>
          <w:sz w:val="44"/>
          <w:szCs w:val="44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Gaytán Saldaña Josué Yair 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color w:val="1f3864"/>
          <w:sz w:val="44"/>
          <w:szCs w:val="44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Hernández García Israel   </w:t>
        <w:tab/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sz w:val="40"/>
          <w:szCs w:val="40"/>
          <w:rtl w:val="0"/>
        </w:rPr>
        <w:t xml:space="preserve">Reporte práctica 1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Profesor: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M.A. AYESHA SAGRARIO ROMAN GARCIA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Asignatura: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Fundamentos de sistemas embebidos.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Fecha de entrega: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  30/ agosto /2019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Semestre 2020-1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Carrera: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Ingeniería en Computación</w:t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Conclusiones 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Aprendimos a como configurar la raspberry. A como controlarla remotamente mediante ssh y nos ayudamos de nmap para poder habilitar la conexión. Y a su vez poder conectarnos mediante VNC en caso de que se consiguiera el adaptador a vga. Fue  una práctica de introducción a raspbian.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