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BD" w:rsidRPr="00EE5DBD" w:rsidRDefault="00EE5DBD" w:rsidP="00B47EF5">
      <w:pPr>
        <w:spacing w:line="240" w:lineRule="auto"/>
        <w:rPr>
          <w:rFonts w:ascii="Century Gothic" w:hAnsi="Century Gothic"/>
          <w:lang w:val="be-BY"/>
        </w:rPr>
      </w:pPr>
      <w:r w:rsidRPr="00EE5DBD">
        <w:rPr>
          <w:rFonts w:ascii="Century Gothic" w:hAnsi="Century Gothic"/>
          <w:b/>
          <w:lang w:val="be-BY"/>
        </w:rPr>
        <w:t>Сялянская рэформа 1861 года і асаблівасці яе рэалізацыі на Беларусі</w:t>
      </w:r>
      <w:r>
        <w:rPr>
          <w:rFonts w:ascii="Century Gothic" w:hAnsi="Century Gothic"/>
          <w:b/>
          <w:lang w:val="be-BY"/>
        </w:rPr>
        <w:br/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>Крызіс феадальна-прыгонніцкай гаспадарцы, які стаў відавочны ў сярэдзіне 19 ст., вымусіў царскі ўрад шукаць шляхі да рэфармавання вытворчых адносін ў сельскай гаспадарцы. Неабходнасць адмены прыгоннага права стала ўсведамляцца правячымі коламі пасля паражэння Расійскай імперыі ў Крымскай вайне 1853-1856 гг., якая паказала тэхнічную адсталасць Расіі ў параўнанні з індустрыялізаванымі заходнееўрапейскімі краінамі, пасля ўваходжання на трон імператара Аляксандра ІІ (1855-1881). Шляхам адмены прыгоннага права царызм спадзяваўся стварыць умовы для тэхнічнай мадэрнізацыі гаспадаркі імперыі.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  <w:t>Падрыхтоўка да адмены прыгоннага права пачалася са стварэння “Сакрэтнага камітэта па сялянскіх справах” у студзені 1857 г. Урад імкнуўся правядзенне рэформы паставіць на шырокае абмеркаванне ў колах дваранства. Першым рэгіёнам, у якім меркавалася прыцягнуць памешчыкаў да рэалізацыі ідэі аграрнай рэформы, сталі землі Беларусі і Літвы. Тлумачыцца гэта тым, што памешчыкі гэтага рэгіёну былі ў большай ступені падрыхтаваны да адмены прыгоннага права, таму што іх гаспадаркі былі ўцягнуты ў таварна-грашовыя адносіны праз еўрапейскі рынак. Да вясны 1858 г. ва ўсіх губернях Беларусі і Літвы, а да канца года ў большасці губерняў Расійскай імперыі былі створаны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r w:rsidRPr="00EE5DBD">
        <w:rPr>
          <w:rFonts w:ascii="Century Gothic" w:eastAsia="Times New Roman" w:hAnsi="Century Gothic" w:cs="Tahoma"/>
          <w:iCs/>
          <w:color w:val="424242"/>
          <w:lang w:val="be-BY" w:eastAsia="ru-RU"/>
        </w:rPr>
        <w:t>губернскія камітэты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 xml:space="preserve">з прадстаўнікоў дваранства, якім даручалася скласці праекты адмены прыгоннага права.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Канчатковая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выпрацоўка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праекта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рэформы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праводзілася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спецыяльна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створанай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імператарам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у 1859 г.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установай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–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рэдакцыйнымі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камісіямі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B47EF5">
        <w:rPr>
          <w:rFonts w:ascii="Century Gothic" w:eastAsia="Times New Roman" w:hAnsi="Century Gothic" w:cs="Tahoma"/>
          <w:bCs/>
          <w:i/>
          <w:color w:val="424242"/>
          <w:lang w:val="be-BY" w:eastAsia="ru-RU"/>
        </w:rPr>
        <w:t>19 лютага 1861 г.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>расійскі імператар Аляксандр ІІ падпісаў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r w:rsidRPr="00EE5DBD">
        <w:rPr>
          <w:rFonts w:ascii="Century Gothic" w:eastAsia="Times New Roman" w:hAnsi="Century Gothic" w:cs="Tahoma"/>
          <w:iCs/>
          <w:color w:val="424242"/>
          <w:lang w:val="be-BY" w:eastAsia="ru-RU"/>
        </w:rPr>
        <w:t>Маніфест аб адмене прыгоннага права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>і дапасаваныя да яго “</w:t>
      </w:r>
      <w:r w:rsidRPr="00EE5DBD">
        <w:rPr>
          <w:rFonts w:ascii="Century Gothic" w:eastAsia="Times New Roman" w:hAnsi="Century Gothic" w:cs="Tahoma"/>
          <w:iCs/>
          <w:color w:val="424242"/>
          <w:lang w:val="be-BY" w:eastAsia="ru-RU"/>
        </w:rPr>
        <w:t>Агульнае палажэнне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>”, “</w:t>
      </w:r>
      <w:r w:rsidRPr="00EE5DBD">
        <w:rPr>
          <w:rFonts w:ascii="Century Gothic" w:eastAsia="Times New Roman" w:hAnsi="Century Gothic" w:cs="Tahoma"/>
          <w:iCs/>
          <w:color w:val="424242"/>
          <w:lang w:val="be-BY" w:eastAsia="ru-RU"/>
        </w:rPr>
        <w:t>мясцовыя палажэнні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>” і дадатковыя правілы, якія ілюстравалі змест аграрнай рэформы.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  <w:t>Сутнасць праводзімай аграрнай рэформы палягала ў наступным: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i/>
          <w:color w:val="424242"/>
          <w:lang w:val="be-BY" w:eastAsia="ru-RU"/>
        </w:rPr>
        <w:t>1)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 xml:space="preserve"> Сяляне атрымлівалі асабістую свабоду і грамадзянскія правы: яны маглі гандляваць, набываць рухомую і нерухомую маёмасць, паступаць у навучальныя ўстановы і на службу, несці асабістую адказнасць перад судом і г.д.; памешчыкі не маглі больш прадаваць і караць сялян.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i/>
          <w:color w:val="424242"/>
          <w:lang w:val="be-BY" w:eastAsia="ru-RU"/>
        </w:rPr>
        <w:t>2)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 xml:space="preserve"> Памешчыкі прызнаваліся ўласнікамі ўсёй зямлі, якая належала ім да рэформы.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Частка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гэтай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адводзілася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для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надзялення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але не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асабістую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ўласнасць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а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пастаяннае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карыстанне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працягу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дзевяці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гадоў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павінны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былі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выконваць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за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выдзеленыя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павіннасці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карысць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(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паншчына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або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аброк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). 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гэты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перыяд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лічыліся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часоваабавязанымі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 і не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маглі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пакінуць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сваё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месца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жыхарства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без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дазволу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памешчыка.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i/>
          <w:color w:val="424242"/>
          <w:lang w:val="be-BY" w:eastAsia="ru-RU"/>
        </w:rPr>
        <w:t>3)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 xml:space="preserve"> Пазямельныя адносіны паміж памешчыкамі і часоваабавязанымі сялянамі рэгуляваліся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r w:rsidRPr="00EE5DBD">
        <w:rPr>
          <w:rFonts w:ascii="Century Gothic" w:eastAsia="Times New Roman" w:hAnsi="Century Gothic" w:cs="Tahoma"/>
          <w:iCs/>
          <w:color w:val="424242"/>
          <w:lang w:val="be-BY" w:eastAsia="ru-RU"/>
        </w:rPr>
        <w:t>ўстаўнымі граматамі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>, складанне якіх даручалася памешчыкам і спецыяльна ўведзеным для гэтага чыноўнікам – міравым пасярэднікам у двухгадовы тэрмін.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i/>
          <w:color w:val="424242"/>
          <w:lang w:val="be-BY" w:eastAsia="ru-RU"/>
        </w:rPr>
        <w:t>4)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 xml:space="preserve"> Памеры надзелаў, якія адводзіліся</w:t>
      </w:r>
      <w:proofErr w:type="gramEnd"/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 xml:space="preserve"> сялянам, вызначаліся ў залежнасці ад мясцовых умоў. 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Віцебскай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Маг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ілёўскай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панавала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абшчыннае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землекарыстанне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устанаўліваліся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вышэйшыя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ніжэйшыя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памеры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надзелаў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 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залежнасці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ад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колькасці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якасці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пэўнай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мясцовасці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Вышэйшы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складаў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4-5,5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дзесяціны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, “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ніжэйшы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”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адпаведна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1,2-1,8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дзесяціны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душу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мужчынскага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полу.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выпадку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дарэформенны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быў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большым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вышэйшы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памер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праводзіліся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адрэзкі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лішкаў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карысць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Магілёўскай</w:t>
      </w:r>
      <w:proofErr w:type="spellEnd"/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іцебскай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губернях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выніку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адрэзкаў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страцілі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ад 25% да 40%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Для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забеспячэння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выканання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сялянамі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павіннасцей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абшчынах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уводзілася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кругавая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парука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Мінскай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Гродзенскай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Віленскай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чатырох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паветах</w:t>
      </w:r>
      <w:proofErr w:type="spellEnd"/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іцебскай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губерні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існавала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падворнае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землекарыстанне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нормы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сялянскіх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не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вызначаліся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; за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сялянамі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захоўваліся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тыя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якімі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карысталіся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да 1861 г.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Адрэзкі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дапускаліся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заставалася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менш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1/3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часткі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зручных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зямель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; у той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жа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час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сялянскі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нельга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было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паменшыць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больш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як на 1/6.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выкананні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павіннасцей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дзейнічала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асабістая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адказнасць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селяніна.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i/>
          <w:color w:val="424242"/>
          <w:lang w:eastAsia="ru-RU"/>
        </w:rPr>
        <w:t>5)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атрымлівалі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права выкупу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ўласнасць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вызначаных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для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згоды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Пасля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ажыццяўлення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выкупу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часоваабавязаныя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адносіны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спыняліся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. </w:t>
      </w:r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Выкупная сума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 была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такога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памеру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каб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памешчык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паклаўшы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банк (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пад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6%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гадавых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), мог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атрымліваць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прыбытак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роўны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штогадоваму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аброку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з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якая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перайшла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ўласнасць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селяні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</w:t>
      </w:r>
      <w:proofErr w:type="spellEnd"/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Аднак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не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мел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i</w:t>
      </w:r>
      <w:proofErr w:type="spellEnd"/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такой сумы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грошай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Дзяржава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выступіла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якасці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пасярэдні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іж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памешчыкамі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сялянамі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выкупе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павiнны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былі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заплаціць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20-25% ад выкупной сумы, 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астатнюю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частку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атрымлівалі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ад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дзяржавы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выглядзе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каштоўных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папер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выніку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гэтай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аперацыі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павінны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былі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працягу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49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гадоў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плаціць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дзяржаве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выкупныя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плацяжы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якія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ўключалі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сябе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доў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</w:t>
      </w:r>
      <w:proofErr w:type="spellEnd"/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працэнты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за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выдзеленую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пазыку.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bookmarkStart w:id="0" w:name="_GoBack"/>
      <w:r w:rsidRPr="00EE5DBD">
        <w:rPr>
          <w:rFonts w:ascii="Century Gothic" w:eastAsia="Times New Roman" w:hAnsi="Century Gothic" w:cs="Tahoma"/>
          <w:i/>
          <w:color w:val="424242"/>
          <w:lang w:eastAsia="ru-RU"/>
        </w:rPr>
        <w:t>6)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bookmarkEnd w:id="0"/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Стваралася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сістэма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сялянскага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самакіравання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якія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пражывалі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пэўнай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тэрыторыі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складалі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сельскую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абшчыну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агульным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сходзе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выбірал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старасту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зборшчыка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падаткаў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lastRenderedPageBreak/>
        <w:t>іншых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службовых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асоб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Некалькі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сельскіх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абшчын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утваралі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воласць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.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Валасны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сход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 (сход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пэўнай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воласці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)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выбіраў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валасную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ўправу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 на чале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старшынёй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валасны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суд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Сельскія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валасныя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органы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ўлады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сачылі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за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грамадскім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парадкам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аб’яўлялі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сялянам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дзяржаўныя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законы,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кіравалі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зборам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падаткаў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сваёй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дзейнасці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падпарадкоўваліся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дзяржаўнай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павятовай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адм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іністрацыі.</w:t>
      </w:r>
      <w:proofErr w:type="spellEnd"/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Умовы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правядзення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аграрнай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рэформы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выклікалі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незадаволенасць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сялянства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масавым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парадку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адмаўляліся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падпісваць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устаўныя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граматы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выконваць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павіннасці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Уздым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сялянскага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руху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1861-1863 гг.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супаў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па часе з </w:t>
      </w:r>
      <w:proofErr w:type="spellStart"/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польск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ім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нацыянальна-вызваленчым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паўстаннем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1863-1864 гг.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Дадзеная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акалічнасць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стварала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для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царскіх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улад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пагрозу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масавага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далучэння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да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паўстання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падобных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умовах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царызм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у 1863-1864 гг.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пайшоў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некаторыя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саступкі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сялянам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: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-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адмена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часоваабавязанага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становішча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для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беларускіх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губерняў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у 1863-1864 гг.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перавод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абавязковы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выкуп;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-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змяншэнне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сумы выкупных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плацяжоў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па розных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губернях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ад 20% да 75%;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-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вяртанне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сялянам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часткі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адрэзаных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раней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зямель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;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выніку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сярэднія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памеры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былых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памешчыцкіх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Беларусі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аказаліся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вышэйшымі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цэлым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па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Расійскай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імперыі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(у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Беларусі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4,2-5,7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дзесяціны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па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Расійскай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імперыі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– 3,3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дзесяціны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).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  <w:t xml:space="preserve">У 1863 г. былі створаны камісіі, якія павінны былі праверыць памеры сялянскіх надзелаў і скласці выкупныя акты.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Складанне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выкупных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актаў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тэрыторыі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Беларусі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t xml:space="preserve"> 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было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завершана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асноўным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да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пачатку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1870-х гг.</w:t>
      </w:r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У 1867 г. была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праведзена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рэформа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дзяржаўных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сялян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Яны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пераводзіліся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з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аброку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на выкуп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станавіліся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прыватнымі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ўладальнікамі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зямельных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надзелаў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але выкуп для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gramStart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не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бы</w:t>
      </w:r>
      <w:proofErr w:type="gramEnd"/>
      <w:r w:rsidRPr="00EE5DBD">
        <w:rPr>
          <w:rFonts w:ascii="Century Gothic" w:eastAsia="Times New Roman" w:hAnsi="Century Gothic" w:cs="Tahoma"/>
          <w:color w:val="424242"/>
          <w:lang w:eastAsia="ru-RU"/>
        </w:rPr>
        <w:t>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абавязковы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Дзяржаўныя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сяляне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асноўным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захавалі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свае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надзелы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якія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аказаліся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вышэйшымі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чым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у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памешчыцкіх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. За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карыстанне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зямлёй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яны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павінны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былі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плаціць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дзяржаве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color w:val="424242"/>
          <w:lang w:eastAsia="ru-RU"/>
        </w:rPr>
        <w:t>аброк.</w:t>
      </w:r>
      <w:proofErr w:type="spellEnd"/>
      <w:r w:rsidRPr="00EE5DBD">
        <w:rPr>
          <w:rFonts w:ascii="Century Gothic" w:eastAsia="Times New Roman" w:hAnsi="Century Gothic" w:cs="Tahoma"/>
          <w:color w:val="424242"/>
          <w:lang w:val="be-BY" w:eastAsia="ru-RU"/>
        </w:rPr>
        <w:br/>
        <w:t>Такім чынам,</w:t>
      </w:r>
      <w:r w:rsidRPr="00EE5DBD">
        <w:rPr>
          <w:rFonts w:ascii="Century Gothic" w:eastAsia="Times New Roman" w:hAnsi="Century Gothic" w:cs="Tahoma"/>
          <w:color w:val="424242"/>
          <w:lang w:eastAsia="ru-RU"/>
        </w:rPr>
        <w:t> </w:t>
      </w:r>
      <w:r w:rsidRPr="00EE5DBD">
        <w:rPr>
          <w:rFonts w:ascii="Century Gothic" w:eastAsia="Times New Roman" w:hAnsi="Century Gothic" w:cs="Tahoma"/>
          <w:iCs/>
          <w:color w:val="424242"/>
          <w:lang w:val="be-BY" w:eastAsia="ru-RU"/>
        </w:rPr>
        <w:t xml:space="preserve">адмена прыгоннага права ліквідавала асабістую залежнасць сялян ад памешчыкаў і стварыла больш спрыяльныя, чым раней, умовы для развіцця капіталістычных таварна-грашовых адносін у селькай гаспадарцы і эканоміцы ў цэлым. </w:t>
      </w:r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Разам з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тым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асаблівасці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правядзення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рэформы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накіраваныя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перш за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ўсё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на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забеспячэнне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інтарэсаў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памешчыкаў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і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дзяржавы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абумовілі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захаванне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істотных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феадальных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перажыткаў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крыніцай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якіх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з’яўлялася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сялянскае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малазямелле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,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дапоўненае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ўзмацненнем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падатковага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ціску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з боку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дзяржавы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ў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выглядзе</w:t>
      </w:r>
      <w:proofErr w:type="spell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gram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выкупных</w:t>
      </w:r>
      <w:proofErr w:type="gramEnd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 xml:space="preserve"> </w:t>
      </w:r>
      <w:proofErr w:type="spellStart"/>
      <w:r w:rsidRPr="00EE5DBD">
        <w:rPr>
          <w:rFonts w:ascii="Century Gothic" w:eastAsia="Times New Roman" w:hAnsi="Century Gothic" w:cs="Tahoma"/>
          <w:iCs/>
          <w:color w:val="424242"/>
          <w:lang w:eastAsia="ru-RU"/>
        </w:rPr>
        <w:t>плацяжоў</w:t>
      </w:r>
      <w:proofErr w:type="spellEnd"/>
      <w:r w:rsidRPr="00EE5DBD">
        <w:rPr>
          <w:rFonts w:ascii="Century Gothic" w:eastAsia="Times New Roman" w:hAnsi="Century Gothic" w:cs="Tahoma"/>
          <w:color w:val="424242"/>
          <w:lang w:eastAsia="ru-RU"/>
        </w:rPr>
        <w:t>.</w:t>
      </w:r>
    </w:p>
    <w:p w:rsidR="00EE5DBD" w:rsidRPr="00EE5DBD" w:rsidRDefault="00EE5DBD" w:rsidP="00B47EF5">
      <w:pPr>
        <w:spacing w:line="240" w:lineRule="auto"/>
        <w:rPr>
          <w:rFonts w:ascii="Century Gothic" w:hAnsi="Century Gothic"/>
        </w:rPr>
      </w:pPr>
    </w:p>
    <w:sectPr w:rsidR="00EE5DBD" w:rsidRPr="00EE5DBD" w:rsidSect="00EE5DBD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BD"/>
    <w:rsid w:val="00A22F0A"/>
    <w:rsid w:val="00B47EF5"/>
    <w:rsid w:val="00E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5D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5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2020-03-14T17:36:00Z</dcterms:created>
  <dcterms:modified xsi:type="dcterms:W3CDTF">2020-03-14T17:50:00Z</dcterms:modified>
</cp:coreProperties>
</file>