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D82BD1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2117E690">
      <w:pPr>
        <w:spacing w:after="40" w:line="240" w:lineRule="auto"/>
        <w:jc w:val="center"/>
      </w:pPr>
      <w:r>
        <w:rPr>
          <w:b/>
          <w:sz w:val="24"/>
        </w:rPr>
        <w:t>ASSESSMENT TOOL 3: Application Based Questions</w:t>
      </w:r>
    </w:p>
    <w:p w14:paraId="672A6659">
      <w:pPr>
        <w:spacing w:after="40" w:line="240" w:lineRule="auto"/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0"/>
        <w:gridCol w:w="2560"/>
        <w:gridCol w:w="2560"/>
        <w:gridCol w:w="2560"/>
      </w:tblGrid>
      <w:tr w14:paraId="6E78C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0" w:type="dxa"/>
          </w:tcPr>
          <w:p w14:paraId="18E1C793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 NAME:</w:t>
            </w:r>
          </w:p>
        </w:tc>
        <w:tc>
          <w:tcPr>
            <w:tcW w:w="2560" w:type="dxa"/>
          </w:tcPr>
          <w:p w14:paraId="11D784B2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Cloud Computing and Big Data Analytics </w:t>
            </w:r>
          </w:p>
        </w:tc>
        <w:tc>
          <w:tcPr>
            <w:tcW w:w="2560" w:type="dxa"/>
          </w:tcPr>
          <w:p w14:paraId="22972DCD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 CODE:</w:t>
            </w:r>
          </w:p>
        </w:tc>
        <w:tc>
          <w:tcPr>
            <w:tcW w:w="2560" w:type="dxa"/>
          </w:tcPr>
          <w:p w14:paraId="5EAF4D4A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CSA15</w:t>
            </w:r>
          </w:p>
        </w:tc>
      </w:tr>
    </w:tbl>
    <w:p w14:paraId="0A37501D">
      <w:pPr>
        <w:rPr>
          <w:sz w:val="24"/>
          <w:szCs w:val="24"/>
        </w:rPr>
      </w:pPr>
    </w:p>
    <w:p w14:paraId="5DAB6C7B">
      <w:pPr>
        <w:pBdr>
          <w:bottom w:val="single" w:color="A6A6A6" w:sz="6" w:space="1"/>
        </w:pBdr>
        <w:spacing w:after="240"/>
        <w:rPr>
          <w:sz w:val="24"/>
          <w:szCs w:val="24"/>
        </w:rPr>
      </w:pPr>
    </w:p>
    <w:p w14:paraId="006BF6E0">
      <w:pPr>
        <w:spacing w:after="40"/>
        <w:rPr>
          <w:sz w:val="24"/>
          <w:szCs w:val="24"/>
        </w:rPr>
      </w:pPr>
      <w:r>
        <w:rPr>
          <w:b/>
          <w:sz w:val="24"/>
          <w:szCs w:val="24"/>
        </w:rPr>
        <w:t>COURSE OUTCOME COVERED</w:t>
      </w:r>
    </w:p>
    <w:p w14:paraId="52B3CEFF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 xml:space="preserve">CO2: </w:t>
      </w:r>
      <w:r>
        <w:rPr>
          <w:i/>
          <w:sz w:val="24"/>
          <w:szCs w:val="24"/>
        </w:rPr>
        <w:t>Analyze virtualization architectures to identify performance and security issues in cloud computing environments.</w:t>
      </w:r>
      <w:r>
        <w:rPr>
          <w:sz w:val="24"/>
          <w:szCs w:val="24"/>
        </w:rPr>
        <w:t xml:space="preserve"> (BL3)</w:t>
      </w:r>
    </w:p>
    <w:p w14:paraId="495EE7A6">
      <w:pPr>
        <w:spacing w:after="40"/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02EB378F">
      <w:pPr>
        <w:spacing w:after="40"/>
        <w:rPr>
          <w:sz w:val="24"/>
          <w:szCs w:val="24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0"/>
        <w:gridCol w:w="5120"/>
      </w:tblGrid>
      <w:tr w14:paraId="7B636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0" w:type="dxa"/>
          </w:tcPr>
          <w:p w14:paraId="758DF62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Dave's Taxonomy: Manipulation (Level 2)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Question Count: 5</w:t>
            </w:r>
          </w:p>
        </w:tc>
        <w:tc>
          <w:tcPr>
            <w:tcW w:w="5120" w:type="dxa"/>
          </w:tcPr>
          <w:p w14:paraId="706C6F62">
            <w:pPr>
              <w:spacing w:after="0"/>
              <w:jc w:val="righ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 Marks: 25</w:t>
            </w:r>
          </w:p>
        </w:tc>
      </w:tr>
    </w:tbl>
    <w:p w14:paraId="6A05A809">
      <w:pPr>
        <w:rPr>
          <w:sz w:val="24"/>
          <w:szCs w:val="24"/>
        </w:rPr>
      </w:pPr>
    </w:p>
    <w:p w14:paraId="5A39BBE3">
      <w:pPr>
        <w:pBdr>
          <w:bottom w:val="single" w:color="A6A6A6" w:sz="6" w:space="1"/>
        </w:pBdr>
        <w:rPr>
          <w:sz w:val="24"/>
          <w:szCs w:val="24"/>
        </w:rPr>
      </w:pPr>
    </w:p>
    <w:p w14:paraId="45D2CB44">
      <w:pPr>
        <w:spacing w:after="40"/>
        <w:rPr>
          <w:sz w:val="24"/>
          <w:szCs w:val="24"/>
        </w:rPr>
      </w:pPr>
      <w:r>
        <w:rPr>
          <w:b/>
          <w:sz w:val="24"/>
          <w:szCs w:val="24"/>
        </w:rPr>
        <w:t>Code of Conduct</w:t>
      </w:r>
    </w:p>
    <w:p w14:paraId="2462CDD7">
      <w:pPr>
        <w:spacing w:after="40"/>
        <w:rPr>
          <w:sz w:val="24"/>
          <w:szCs w:val="24"/>
        </w:rPr>
      </w:pPr>
      <w:r>
        <w:rPr>
          <w:sz w:val="24"/>
          <w:szCs w:val="24"/>
        </w:rPr>
        <w:t xml:space="preserve">I  </w:t>
      </w:r>
      <w:r>
        <w:rPr>
          <w:rFonts w:hint="default"/>
          <w:sz w:val="24"/>
          <w:szCs w:val="24"/>
          <w:lang w:val="en-IN"/>
        </w:rPr>
        <w:t>B.Ramya</w:t>
      </w:r>
      <w:r>
        <w:rPr>
          <w:sz w:val="24"/>
          <w:szCs w:val="24"/>
        </w:rPr>
        <w:t>(192</w:t>
      </w:r>
      <w:r>
        <w:rPr>
          <w:rFonts w:hint="default"/>
          <w:sz w:val="24"/>
          <w:szCs w:val="24"/>
          <w:lang w:val="en-IN"/>
        </w:rPr>
        <w:t>424183</w:t>
      </w:r>
      <w:r>
        <w:rPr>
          <w:sz w:val="24"/>
          <w:szCs w:val="24"/>
        </w:rPr>
        <w:t>)(Name / Reg No) certify that this submission is my original work and that I have adhered to the guidelines specified for this assessment.</w:t>
      </w:r>
    </w:p>
    <w:p w14:paraId="1D26A9E2">
      <w:pPr>
        <w:spacing w:after="40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14:paraId="755DE653">
      <w:pPr>
        <w:spacing w:after="40"/>
        <w:rPr>
          <w:rFonts w:hint="default"/>
          <w:sz w:val="24"/>
          <w:szCs w:val="24"/>
          <w:lang w:val="en-IN"/>
        </w:rPr>
      </w:pPr>
      <w:r>
        <w:rPr>
          <w:sz w:val="24"/>
          <w:szCs w:val="24"/>
        </w:rPr>
        <w:t xml:space="preserve">Signature of the student: </w:t>
      </w:r>
      <w:r>
        <w:rPr>
          <w:rFonts w:hint="default"/>
          <w:sz w:val="24"/>
          <w:szCs w:val="24"/>
          <w:lang w:val="en-IN"/>
        </w:rPr>
        <w:t>B.Ramya</w:t>
      </w:r>
      <w:bookmarkStart w:id="0" w:name="_GoBack"/>
      <w:bookmarkEnd w:id="0"/>
    </w:p>
    <w:p w14:paraId="41C8F396">
      <w:pPr>
        <w:spacing w:after="40" w:line="240" w:lineRule="auto"/>
      </w:pPr>
    </w:p>
    <w:p w14:paraId="72A3D3EC">
      <w:pPr>
        <w:spacing w:after="40" w:line="240" w:lineRule="auto"/>
        <w:rPr>
          <w:b/>
        </w:rPr>
      </w:pPr>
    </w:p>
    <w:p w14:paraId="0D0B940D">
      <w:pPr>
        <w:spacing w:after="40" w:line="240" w:lineRule="auto"/>
        <w:rPr>
          <w:b/>
        </w:rPr>
      </w:pPr>
    </w:p>
    <w:tbl>
      <w:tblPr>
        <w:tblStyle w:val="12"/>
        <w:tblW w:w="0" w:type="auto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9"/>
        <w:gridCol w:w="1606"/>
        <w:gridCol w:w="1521"/>
        <w:gridCol w:w="1584"/>
        <w:gridCol w:w="1238"/>
        <w:gridCol w:w="1265"/>
        <w:gridCol w:w="916"/>
      </w:tblGrid>
      <w:tr w14:paraId="012AE0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1219" w:type="dxa"/>
          </w:tcPr>
          <w:p w14:paraId="0E27B00A">
            <w:pPr>
              <w:pStyle w:val="164"/>
              <w:spacing w:before="7"/>
              <w:rPr>
                <w:b/>
                <w:i/>
                <w:sz w:val="20"/>
              </w:rPr>
            </w:pPr>
          </w:p>
          <w:p w14:paraId="1FDF52F2">
            <w:pPr>
              <w:pStyle w:val="164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606" w:type="dxa"/>
          </w:tcPr>
          <w:p w14:paraId="29765274">
            <w:pPr>
              <w:pStyle w:val="164"/>
              <w:spacing w:before="122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Relevance to Application (1.25)</w:t>
            </w:r>
          </w:p>
        </w:tc>
        <w:tc>
          <w:tcPr>
            <w:tcW w:w="1521" w:type="dxa"/>
          </w:tcPr>
          <w:p w14:paraId="60061E4C">
            <w:pPr>
              <w:pStyle w:val="164"/>
              <w:spacing w:before="7"/>
              <w:rPr>
                <w:b/>
                <w:i/>
                <w:sz w:val="20"/>
              </w:rPr>
            </w:pPr>
          </w:p>
          <w:p w14:paraId="0B1D36E9">
            <w:pPr>
              <w:pStyle w:val="164"/>
              <w:spacing w:before="1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Use of Cloud Concepts</w:t>
            </w:r>
            <w:r>
              <w:rPr>
                <w:b/>
                <w:spacing w:val="-2"/>
                <w:sz w:val="20"/>
              </w:rPr>
              <w:t xml:space="preserve"> (1.25)</w:t>
            </w:r>
          </w:p>
        </w:tc>
        <w:tc>
          <w:tcPr>
            <w:tcW w:w="1584" w:type="dxa"/>
          </w:tcPr>
          <w:p w14:paraId="44EAFD9C">
            <w:pPr>
              <w:pStyle w:val="164"/>
              <w:spacing w:before="7"/>
              <w:rPr>
                <w:b/>
                <w:i/>
                <w:sz w:val="20"/>
              </w:rPr>
            </w:pPr>
          </w:p>
          <w:p w14:paraId="761FED01">
            <w:pPr>
              <w:pStyle w:val="164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Practical Insight</w:t>
            </w:r>
            <w:r>
              <w:rPr>
                <w:b/>
                <w:spacing w:val="-2"/>
                <w:sz w:val="20"/>
              </w:rPr>
              <w:t xml:space="preserve"> (1)</w:t>
            </w:r>
          </w:p>
        </w:tc>
        <w:tc>
          <w:tcPr>
            <w:tcW w:w="1238" w:type="dxa"/>
          </w:tcPr>
          <w:p w14:paraId="4B94D5A5">
            <w:pPr>
              <w:pStyle w:val="164"/>
              <w:spacing w:before="1"/>
              <w:ind w:left="11" w:right="5"/>
              <w:jc w:val="center"/>
              <w:rPr>
                <w:b/>
                <w:bCs/>
                <w:sz w:val="20"/>
              </w:rPr>
            </w:pPr>
          </w:p>
          <w:p w14:paraId="7D79F573">
            <w:pPr>
              <w:pStyle w:val="164"/>
              <w:spacing w:before="1"/>
              <w:ind w:left="11" w:right="5"/>
              <w:jc w:val="center"/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Completeness (0.75)</w:t>
            </w:r>
          </w:p>
        </w:tc>
        <w:tc>
          <w:tcPr>
            <w:tcW w:w="1265" w:type="dxa"/>
          </w:tcPr>
          <w:p w14:paraId="5305A94D">
            <w:pPr>
              <w:pStyle w:val="164"/>
              <w:spacing w:before="122"/>
              <w:ind w:left="119"/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Clarity</w:t>
            </w:r>
            <w:r>
              <w:rPr>
                <w:b/>
                <w:spacing w:val="-2"/>
                <w:sz w:val="20"/>
              </w:rPr>
              <w:t xml:space="preserve"> (0.75)</w:t>
            </w:r>
          </w:p>
        </w:tc>
        <w:tc>
          <w:tcPr>
            <w:tcW w:w="916" w:type="dxa"/>
          </w:tcPr>
          <w:p w14:paraId="0C6EFF5C">
            <w:pPr>
              <w:pStyle w:val="164"/>
              <w:ind w:left="292" w:right="86" w:hanging="1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TOTAL </w:t>
            </w:r>
            <w:r>
              <w:rPr>
                <w:b/>
                <w:spacing w:val="-4"/>
                <w:sz w:val="20"/>
              </w:rPr>
              <w:t>(5)</w:t>
            </w:r>
          </w:p>
        </w:tc>
      </w:tr>
      <w:tr w14:paraId="23BB59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1219" w:type="dxa"/>
          </w:tcPr>
          <w:p w14:paraId="1934F9E9">
            <w:pPr>
              <w:pStyle w:val="164"/>
              <w:spacing w:before="62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606" w:type="dxa"/>
          </w:tcPr>
          <w:p w14:paraId="4CDC75CA">
            <w:pPr>
              <w:pStyle w:val="164"/>
              <w:spacing w:before="62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25%</w:t>
            </w:r>
          </w:p>
        </w:tc>
        <w:tc>
          <w:tcPr>
            <w:tcW w:w="1521" w:type="dxa"/>
          </w:tcPr>
          <w:p w14:paraId="4137B3FB">
            <w:pPr>
              <w:pStyle w:val="164"/>
              <w:spacing w:before="62"/>
              <w:ind w:left="12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25%</w:t>
            </w:r>
          </w:p>
        </w:tc>
        <w:tc>
          <w:tcPr>
            <w:tcW w:w="1584" w:type="dxa"/>
          </w:tcPr>
          <w:p w14:paraId="17DCED26">
            <w:pPr>
              <w:pStyle w:val="164"/>
              <w:spacing w:before="62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1238" w:type="dxa"/>
          </w:tcPr>
          <w:p w14:paraId="33E27760">
            <w:pPr>
              <w:pStyle w:val="164"/>
              <w:spacing w:before="62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  <w:tc>
          <w:tcPr>
            <w:tcW w:w="1265" w:type="dxa"/>
          </w:tcPr>
          <w:p w14:paraId="6861B118">
            <w:pPr>
              <w:pStyle w:val="164"/>
              <w:spacing w:before="62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  <w:tc>
          <w:tcPr>
            <w:tcW w:w="916" w:type="dxa"/>
          </w:tcPr>
          <w:p w14:paraId="135237C8">
            <w:pPr>
              <w:pStyle w:val="164"/>
              <w:ind w:left="2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100%</w:t>
            </w:r>
          </w:p>
        </w:tc>
      </w:tr>
      <w:tr w14:paraId="34B5F0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219" w:type="dxa"/>
          </w:tcPr>
          <w:p w14:paraId="2F103B77">
            <w:pPr>
              <w:pStyle w:val="164"/>
              <w:spacing w:before="5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Q1</w:t>
            </w:r>
          </w:p>
        </w:tc>
        <w:tc>
          <w:tcPr>
            <w:tcW w:w="1606" w:type="dxa"/>
          </w:tcPr>
          <w:p w14:paraId="3DEEC669">
            <w:pPr>
              <w:pStyle w:val="164"/>
            </w:pPr>
          </w:p>
        </w:tc>
        <w:tc>
          <w:tcPr>
            <w:tcW w:w="1521" w:type="dxa"/>
          </w:tcPr>
          <w:p w14:paraId="3656B9AB">
            <w:pPr>
              <w:pStyle w:val="164"/>
            </w:pPr>
          </w:p>
        </w:tc>
        <w:tc>
          <w:tcPr>
            <w:tcW w:w="1584" w:type="dxa"/>
          </w:tcPr>
          <w:p w14:paraId="45FB0818">
            <w:pPr>
              <w:pStyle w:val="164"/>
            </w:pPr>
          </w:p>
        </w:tc>
        <w:tc>
          <w:tcPr>
            <w:tcW w:w="1238" w:type="dxa"/>
          </w:tcPr>
          <w:p w14:paraId="049F31CB">
            <w:pPr>
              <w:pStyle w:val="164"/>
            </w:pPr>
          </w:p>
        </w:tc>
        <w:tc>
          <w:tcPr>
            <w:tcW w:w="1265" w:type="dxa"/>
          </w:tcPr>
          <w:p w14:paraId="53128261">
            <w:pPr>
              <w:pStyle w:val="164"/>
            </w:pPr>
          </w:p>
        </w:tc>
        <w:tc>
          <w:tcPr>
            <w:tcW w:w="916" w:type="dxa"/>
          </w:tcPr>
          <w:p w14:paraId="62486C05">
            <w:pPr>
              <w:pStyle w:val="164"/>
            </w:pPr>
          </w:p>
        </w:tc>
      </w:tr>
      <w:tr w14:paraId="4A8B0D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219" w:type="dxa"/>
          </w:tcPr>
          <w:p w14:paraId="735CD073">
            <w:pPr>
              <w:pStyle w:val="164"/>
              <w:spacing w:before="5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Q2</w:t>
            </w:r>
          </w:p>
        </w:tc>
        <w:tc>
          <w:tcPr>
            <w:tcW w:w="1606" w:type="dxa"/>
          </w:tcPr>
          <w:p w14:paraId="4101652C">
            <w:pPr>
              <w:pStyle w:val="164"/>
            </w:pPr>
          </w:p>
        </w:tc>
        <w:tc>
          <w:tcPr>
            <w:tcW w:w="1521" w:type="dxa"/>
          </w:tcPr>
          <w:p w14:paraId="4B99056E">
            <w:pPr>
              <w:pStyle w:val="164"/>
            </w:pPr>
          </w:p>
        </w:tc>
        <w:tc>
          <w:tcPr>
            <w:tcW w:w="1584" w:type="dxa"/>
          </w:tcPr>
          <w:p w14:paraId="1299C43A">
            <w:pPr>
              <w:pStyle w:val="164"/>
            </w:pPr>
          </w:p>
        </w:tc>
        <w:tc>
          <w:tcPr>
            <w:tcW w:w="1238" w:type="dxa"/>
          </w:tcPr>
          <w:p w14:paraId="4DDBEF00">
            <w:pPr>
              <w:pStyle w:val="164"/>
            </w:pPr>
          </w:p>
        </w:tc>
        <w:tc>
          <w:tcPr>
            <w:tcW w:w="1265" w:type="dxa"/>
          </w:tcPr>
          <w:p w14:paraId="3461D779">
            <w:pPr>
              <w:pStyle w:val="164"/>
            </w:pPr>
          </w:p>
        </w:tc>
        <w:tc>
          <w:tcPr>
            <w:tcW w:w="916" w:type="dxa"/>
          </w:tcPr>
          <w:p w14:paraId="3CF2D8B6">
            <w:pPr>
              <w:pStyle w:val="164"/>
            </w:pPr>
          </w:p>
        </w:tc>
      </w:tr>
      <w:tr w14:paraId="0356CC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219" w:type="dxa"/>
          </w:tcPr>
          <w:p w14:paraId="7A8F9DAC">
            <w:pPr>
              <w:pStyle w:val="164"/>
              <w:spacing w:before="5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Q3</w:t>
            </w:r>
          </w:p>
        </w:tc>
        <w:tc>
          <w:tcPr>
            <w:tcW w:w="1606" w:type="dxa"/>
          </w:tcPr>
          <w:p w14:paraId="0FB78278">
            <w:pPr>
              <w:pStyle w:val="164"/>
            </w:pPr>
          </w:p>
        </w:tc>
        <w:tc>
          <w:tcPr>
            <w:tcW w:w="1521" w:type="dxa"/>
          </w:tcPr>
          <w:p w14:paraId="1FC39945">
            <w:pPr>
              <w:pStyle w:val="164"/>
            </w:pPr>
          </w:p>
        </w:tc>
        <w:tc>
          <w:tcPr>
            <w:tcW w:w="1584" w:type="dxa"/>
          </w:tcPr>
          <w:p w14:paraId="0562CB0E">
            <w:pPr>
              <w:pStyle w:val="164"/>
            </w:pPr>
          </w:p>
        </w:tc>
        <w:tc>
          <w:tcPr>
            <w:tcW w:w="1238" w:type="dxa"/>
          </w:tcPr>
          <w:p w14:paraId="34CE0A41">
            <w:pPr>
              <w:pStyle w:val="164"/>
            </w:pPr>
          </w:p>
        </w:tc>
        <w:tc>
          <w:tcPr>
            <w:tcW w:w="1265" w:type="dxa"/>
          </w:tcPr>
          <w:p w14:paraId="62EBF3C5">
            <w:pPr>
              <w:pStyle w:val="164"/>
            </w:pPr>
          </w:p>
        </w:tc>
        <w:tc>
          <w:tcPr>
            <w:tcW w:w="916" w:type="dxa"/>
          </w:tcPr>
          <w:p w14:paraId="6D98A12B">
            <w:pPr>
              <w:pStyle w:val="164"/>
            </w:pPr>
          </w:p>
        </w:tc>
      </w:tr>
      <w:tr w14:paraId="094341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219" w:type="dxa"/>
          </w:tcPr>
          <w:p w14:paraId="57113BC0">
            <w:pPr>
              <w:pStyle w:val="164"/>
              <w:spacing w:before="5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Q4</w:t>
            </w:r>
          </w:p>
        </w:tc>
        <w:tc>
          <w:tcPr>
            <w:tcW w:w="1606" w:type="dxa"/>
          </w:tcPr>
          <w:p w14:paraId="2946DB82">
            <w:pPr>
              <w:pStyle w:val="164"/>
            </w:pPr>
          </w:p>
        </w:tc>
        <w:tc>
          <w:tcPr>
            <w:tcW w:w="1521" w:type="dxa"/>
          </w:tcPr>
          <w:p w14:paraId="5997CC1D">
            <w:pPr>
              <w:pStyle w:val="164"/>
            </w:pPr>
          </w:p>
        </w:tc>
        <w:tc>
          <w:tcPr>
            <w:tcW w:w="1584" w:type="dxa"/>
          </w:tcPr>
          <w:p w14:paraId="110FFD37">
            <w:pPr>
              <w:pStyle w:val="164"/>
            </w:pPr>
          </w:p>
        </w:tc>
        <w:tc>
          <w:tcPr>
            <w:tcW w:w="1238" w:type="dxa"/>
          </w:tcPr>
          <w:p w14:paraId="6B699379">
            <w:pPr>
              <w:pStyle w:val="164"/>
            </w:pPr>
          </w:p>
        </w:tc>
        <w:tc>
          <w:tcPr>
            <w:tcW w:w="1265" w:type="dxa"/>
          </w:tcPr>
          <w:p w14:paraId="3FE9F23F">
            <w:pPr>
              <w:pStyle w:val="164"/>
            </w:pPr>
          </w:p>
        </w:tc>
        <w:tc>
          <w:tcPr>
            <w:tcW w:w="916" w:type="dxa"/>
          </w:tcPr>
          <w:p w14:paraId="1F72F646">
            <w:pPr>
              <w:pStyle w:val="164"/>
            </w:pPr>
          </w:p>
        </w:tc>
      </w:tr>
      <w:tr w14:paraId="5C429E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219" w:type="dxa"/>
          </w:tcPr>
          <w:p w14:paraId="3C30C48B">
            <w:pPr>
              <w:pStyle w:val="164"/>
              <w:spacing w:before="5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Q5</w:t>
            </w:r>
          </w:p>
        </w:tc>
        <w:tc>
          <w:tcPr>
            <w:tcW w:w="1606" w:type="dxa"/>
          </w:tcPr>
          <w:p w14:paraId="08CE6F91">
            <w:pPr>
              <w:pStyle w:val="164"/>
            </w:pPr>
          </w:p>
        </w:tc>
        <w:tc>
          <w:tcPr>
            <w:tcW w:w="1521" w:type="dxa"/>
          </w:tcPr>
          <w:p w14:paraId="61CDCEAD">
            <w:pPr>
              <w:pStyle w:val="164"/>
            </w:pPr>
          </w:p>
        </w:tc>
        <w:tc>
          <w:tcPr>
            <w:tcW w:w="1584" w:type="dxa"/>
          </w:tcPr>
          <w:p w14:paraId="6BB9E253">
            <w:pPr>
              <w:pStyle w:val="164"/>
            </w:pPr>
          </w:p>
        </w:tc>
        <w:tc>
          <w:tcPr>
            <w:tcW w:w="1238" w:type="dxa"/>
          </w:tcPr>
          <w:p w14:paraId="23DE523C">
            <w:pPr>
              <w:pStyle w:val="164"/>
            </w:pPr>
          </w:p>
        </w:tc>
        <w:tc>
          <w:tcPr>
            <w:tcW w:w="1265" w:type="dxa"/>
          </w:tcPr>
          <w:p w14:paraId="52E56223">
            <w:pPr>
              <w:pStyle w:val="164"/>
            </w:pPr>
          </w:p>
        </w:tc>
        <w:tc>
          <w:tcPr>
            <w:tcW w:w="916" w:type="dxa"/>
          </w:tcPr>
          <w:p w14:paraId="07547A01">
            <w:pPr>
              <w:pStyle w:val="164"/>
            </w:pPr>
          </w:p>
        </w:tc>
      </w:tr>
    </w:tbl>
    <w:p w14:paraId="5043CB0F">
      <w:pPr>
        <w:spacing w:after="40" w:line="240" w:lineRule="auto"/>
        <w:rPr>
          <w:b/>
        </w:rPr>
      </w:pPr>
    </w:p>
    <w:p w14:paraId="07459315">
      <w:pPr>
        <w:spacing w:after="40" w:line="240" w:lineRule="auto"/>
        <w:rPr>
          <w:b/>
        </w:rPr>
      </w:pPr>
    </w:p>
    <w:p w14:paraId="6537F28F">
      <w:pPr>
        <w:spacing w:after="40" w:line="240" w:lineRule="auto"/>
        <w:rPr>
          <w:b/>
        </w:rPr>
      </w:pPr>
    </w:p>
    <w:p w14:paraId="4297C486">
      <w:pPr>
        <w:pStyle w:val="13"/>
        <w:tabs>
          <w:tab w:val="left" w:pos="6121"/>
        </w:tabs>
        <w:ind w:left="360"/>
      </w:pPr>
      <w:r>
        <w:t>Signature</w:t>
      </w:r>
      <w:r>
        <w:rPr>
          <w:spacing w:val="-3"/>
        </w:rPr>
        <w:t xml:space="preserve"> </w:t>
      </w:r>
      <w:r>
        <w:t>of the</w:t>
      </w:r>
      <w:r>
        <w:rPr>
          <w:spacing w:val="-2"/>
        </w:rPr>
        <w:t xml:space="preserve"> Faculty</w:t>
      </w:r>
      <w:r>
        <w:tab/>
      </w:r>
      <w:r>
        <w:t>Total</w:t>
      </w:r>
      <w:r>
        <w:rPr>
          <w:spacing w:val="-3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rPr>
          <w:spacing w:val="-2"/>
        </w:rPr>
        <w:t>Awarded:</w:t>
      </w:r>
    </w:p>
    <w:p w14:paraId="6DFB9E20">
      <w:pPr>
        <w:spacing w:after="40" w:line="240" w:lineRule="auto"/>
        <w:rPr>
          <w:b/>
        </w:rPr>
      </w:pPr>
    </w:p>
    <w:p w14:paraId="70DF9E56">
      <w:pPr>
        <w:spacing w:after="40" w:line="240" w:lineRule="auto"/>
        <w:rPr>
          <w:b/>
        </w:rPr>
      </w:pPr>
    </w:p>
    <w:p w14:paraId="61D6E5EC">
      <w:pPr>
        <w:spacing w:after="40" w:line="360" w:lineRule="auto"/>
        <w:rPr>
          <w:sz w:val="24"/>
          <w:szCs w:val="24"/>
        </w:rPr>
      </w:pPr>
      <w:r>
        <w:rPr>
          <w:b/>
          <w:sz w:val="24"/>
          <w:szCs w:val="24"/>
        </w:rPr>
        <w:t>Application Based Questions</w:t>
      </w:r>
    </w:p>
    <w:p w14:paraId="649ACEA4">
      <w:pPr>
        <w:pStyle w:val="29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does cloud federation improve resource sharing and availability across datacenters?</w:t>
      </w:r>
    </w:p>
    <w:p w14:paraId="3F50E661">
      <w:pPr>
        <w:pStyle w:val="29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What are the key security issues in virtualization, and how can they be mitigated?</w:t>
      </w:r>
    </w:p>
    <w:p w14:paraId="730D84BE">
      <w:pPr>
        <w:pStyle w:val="29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does a software-defined datacenter enhance scalability and management?</w:t>
      </w:r>
    </w:p>
    <w:p w14:paraId="064689AD">
      <w:pPr>
        <w:pStyle w:val="29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can identity and access control ensure data privacy in cloud-based healthcare systems?</w:t>
      </w:r>
    </w:p>
    <w:p w14:paraId="4A322ED3">
      <w:pPr>
        <w:pStyle w:val="29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do virtualization and hypervisors support scalability and resource efficiency in cloud applications?</w:t>
      </w:r>
    </w:p>
    <w:p w14:paraId="44E871BC">
      <w:pPr>
        <w:spacing w:after="40" w:line="240" w:lineRule="auto"/>
      </w:pPr>
    </w:p>
    <w:p w14:paraId="144A5D23"/>
    <w:p w14:paraId="738610EB"/>
    <w:p w14:paraId="637805D2"/>
    <w:p w14:paraId="463F29E8"/>
    <w:p w14:paraId="3B7B4B86"/>
    <w:p w14:paraId="3A0FF5F2"/>
    <w:p w14:paraId="5630AD66"/>
    <w:p w14:paraId="61829076"/>
    <w:p w14:paraId="2BA226A1"/>
    <w:p w14:paraId="17AD93B2"/>
    <w:p w14:paraId="0DE4B5B7"/>
    <w:p w14:paraId="66204FF1"/>
    <w:p w14:paraId="2DBF0D7D"/>
    <w:p w14:paraId="6B62F1B3"/>
    <w:p w14:paraId="02F2C34E"/>
    <w:p w14:paraId="680A4E5D"/>
    <w:p w14:paraId="19219836"/>
    <w:p w14:paraId="296FEF7D"/>
    <w:p w14:paraId="7194DBDC"/>
    <w:p w14:paraId="769D0D3C"/>
    <w:p w14:paraId="54CD245A"/>
    <w:p w14:paraId="28E669D4">
      <w:r>
        <w:br w:type="page"/>
      </w:r>
      <w:r>
        <w:t>Solutions:-</w:t>
      </w:r>
    </w:p>
    <w:p w14:paraId="633F2A24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Question 1: Cloud Federation Resource Sharing &amp; Availability</w:t>
      </w:r>
    </w:p>
    <w:p w14:paraId="4AE6FCDF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1. Relevance to Application</w:t>
      </w:r>
    </w:p>
    <w:p w14:paraId="4BA337F8">
      <w:pPr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Application Scenario: Multi-national enterprises or global web applications operating across distinct geographical regions that experience localized traffic spikes or strict local compliance laws. </w:t>
      </w:r>
    </w:p>
    <w:p w14:paraId="3A31D97E">
      <w:pPr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Relevance: Cloud federation allows distinct cloud providers or isolated datacenters to interconnect their infrastructures, forming an aggregate, collaborative computing environment. </w:t>
      </w:r>
    </w:p>
    <w:p w14:paraId="5A6458ED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2. Use of Cloud Concepts</w:t>
      </w:r>
    </w:p>
    <w:p w14:paraId="31D27E26">
      <w:pPr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Interoperability and Standard APIs: Utilizing uniform communication protocols to bind disparate cloud providers together transparently.</w:t>
      </w:r>
    </w:p>
    <w:p w14:paraId="69F950CD">
      <w:pPr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Dynamic Resource Orchestration: Managing structural scale across heterogeneous environments via central cloud brokers.</w:t>
      </w:r>
    </w:p>
    <w:p w14:paraId="5D435AEB">
      <w:pPr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Geographical Redundancy: Distributing virtualized application deployments globally to drastically reduce network latency and optimize regional content delivery.</w:t>
      </w:r>
    </w:p>
    <w:p w14:paraId="2A00A014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3. Practical Insight</w:t>
      </w:r>
    </w:p>
    <w:p w14:paraId="453AF9ED">
      <w:pPr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Handling Surge Capacity (Cloud Bursting): When a local datacenter experiences a massive spike in user traffic that exhausts local compute limits, the federation mechanism automatically pushes overflow workloads to an interconnected secondary datacenter, preventing service degradation.</w:t>
      </w:r>
    </w:p>
    <w:p w14:paraId="0320DED6">
      <w:pPr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High Availability &amp; Disaster Recovery: If a catastrophic infrastructure failure occurs at one datacenter, traffic is automatically re-routed to a live, mirrored partner datacenter within the federation, maintaining near-zero downtime.</w:t>
      </w:r>
    </w:p>
    <w:p w14:paraId="321F3AB3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4. Completeness &amp; Clarity</w:t>
      </w:r>
    </w:p>
    <w:p w14:paraId="2BE80E09">
      <w:pPr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Conclusion: Cloud federation effectively prevents vendor lock-in and resource stagnation by turning siloed datacenters into a fluid, highly available global resource pool.</w:t>
      </w:r>
    </w:p>
    <w:p w14:paraId="7915745B">
      <w:pPr>
        <w:rPr>
          <w:b/>
          <w:bCs/>
          <w:lang w:val="en-IN"/>
        </w:rPr>
      </w:pPr>
      <w:r>
        <w:rPr>
          <w:lang w:val="en-IN"/>
        </w:rPr>
        <w:br w:type="page"/>
      </w:r>
      <w:r>
        <w:rPr>
          <w:b/>
          <w:bCs/>
          <w:lang w:val="en-IN"/>
        </w:rPr>
        <w:t>Question 2: Virtualization Security Issues &amp; Mitigations</w:t>
      </w:r>
    </w:p>
    <w:p w14:paraId="3909E7EA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1. Relevance to Application</w:t>
      </w:r>
    </w:p>
    <w:p w14:paraId="0459A798">
      <w:pPr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Application Scenario: Multi-tenant public or private cloud environments where workloads belonging to completely separate organizations share the same underlying hardware platform. </w:t>
      </w:r>
    </w:p>
    <w:p w14:paraId="74307F45">
      <w:pPr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Relevance: Virtualization fundamentally alters the security boundary from physical components to software abstractions, creating unique vectors for target exploits. </w:t>
      </w:r>
    </w:p>
    <w:p w14:paraId="12D9D772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2. Use of Cloud Concepts</w:t>
      </w:r>
    </w:p>
    <w:p w14:paraId="184F23A9">
      <w:pPr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Hypervisor Vulnerabilities: The hypervisor represents a single point of failure; a compromise here compromises all hosted guest VMs.</w:t>
      </w:r>
    </w:p>
    <w:p w14:paraId="5E86DA81">
      <w:pPr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Side-Channel Exploits: Attacks targeting CPU architectures (e.g., Specter or Meltdown) where malicious VMs deduce sensitive cryptographic data from neighboring virtual spaces.</w:t>
      </w:r>
    </w:p>
    <w:p w14:paraId="3E8D8566">
      <w:pPr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VM Escape: An attack vector where code executing inside a guest VM bypasses the virtual machine monitor layer to run unauthorized commands directly on the host OS.</w:t>
      </w:r>
    </w:p>
    <w:p w14:paraId="7546D642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3. Practical Insight</w:t>
      </w:r>
    </w:p>
    <w:p w14:paraId="390EC1AE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Mitigating VM Escape &amp; Hypervisor Vulnerabilities: Cloud administrators must enforce rigorous, routine hypervisor patching schedules alongside deploying specialized bare-metal architectures that separate management networks from tenant traffic.</w:t>
      </w:r>
    </w:p>
    <w:p w14:paraId="786E5EB5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Mitigating Multi-Tenancy Threats: Enforcing strict CPU pinning, disabling simultaneous multithreading (SMT) where high-security workloads dictate, and implementing virtualized micro-segmentation at the network layer to block unauthorized lateral traffic between adjacent VMs.</w:t>
      </w:r>
    </w:p>
    <w:p w14:paraId="4AC80E15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4. Completeness &amp; Clarity</w:t>
      </w:r>
    </w:p>
    <w:p w14:paraId="7BE75FDD">
      <w:pPr>
        <w:numPr>
          <w:ilvl w:val="0"/>
          <w:numId w:val="14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Conclusion: Securing virtualized environments requires an ongoing strategy of defense-in-depth, treating the hypervisor as the most critical infrastructure asset.</w:t>
      </w:r>
    </w:p>
    <w:p w14:paraId="1231BE67">
      <w:pPr>
        <w:rPr>
          <w:lang w:val="en-IN"/>
        </w:rPr>
      </w:pPr>
    </w:p>
    <w:p w14:paraId="36FEB5B0">
      <w:pPr>
        <w:rPr>
          <w:lang w:val="en-IN"/>
        </w:rPr>
      </w:pPr>
    </w:p>
    <w:p w14:paraId="30D7AA69">
      <w:pPr>
        <w:rPr>
          <w:lang w:val="en-IN"/>
        </w:rPr>
      </w:pPr>
    </w:p>
    <w:p w14:paraId="68F31273">
      <w:pPr>
        <w:spacing w:line="360" w:lineRule="auto"/>
        <w:rPr>
          <w:sz w:val="24"/>
          <w:szCs w:val="24"/>
          <w:lang w:val="en-IN"/>
        </w:rPr>
      </w:pPr>
      <w:r>
        <w:rPr>
          <w:lang w:val="en-IN"/>
        </w:rPr>
        <w:br w:type="page"/>
      </w:r>
      <w:r>
        <w:rPr>
          <w:sz w:val="24"/>
          <w:szCs w:val="24"/>
          <w:lang w:val="en-IN"/>
        </w:rPr>
        <w:t>Question 3: Software-Defined Datacenter (SDDC) Scalability &amp; Management</w:t>
      </w:r>
    </w:p>
    <w:p w14:paraId="23473162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1. Relevance to Application</w:t>
      </w:r>
    </w:p>
    <w:p w14:paraId="59FC0F5D">
      <w:pPr>
        <w:numPr>
          <w:ilvl w:val="0"/>
          <w:numId w:val="15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Application Scenario: Enterprise infrastructure scaling rapidly to meet shifting consumer market demands without requiring manual physical hardware modifications every time a new resource is deployed. </w:t>
      </w:r>
    </w:p>
    <w:p w14:paraId="076F38DE">
      <w:pPr>
        <w:numPr>
          <w:ilvl w:val="0"/>
          <w:numId w:val="15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Relevance: An SDDC abstracts, pools, and automates all foundational datacenter elements—compute, storage, and networking—into comprehensive software logic. </w:t>
      </w:r>
    </w:p>
    <w:p w14:paraId="76B82842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2. Use of Cloud Concepts</w:t>
      </w:r>
    </w:p>
    <w:p w14:paraId="5932E990">
      <w:pPr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Infrastructure as Code (IaC): Defining, provisioning, and maintaining complex architectures using declarative configuration scripts (e.g., Terraform).</w:t>
      </w:r>
    </w:p>
    <w:p w14:paraId="3C69F97C">
      <w:pPr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Abstracted Resource Pooling: Aggregating physical server arrays into singular, elastic virtual clusters.</w:t>
      </w:r>
    </w:p>
    <w:p w14:paraId="06370ADE">
      <w:pPr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Centralized Control Plane: Managing the entirety of the infrastructure lifecycle through unified software dashboards or API integration points.</w:t>
      </w:r>
    </w:p>
    <w:p w14:paraId="7298B721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3. Practical Insight</w:t>
      </w:r>
    </w:p>
    <w:p w14:paraId="77CB4869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Automated Scalability: When an application requires additional resources, the SDDC software automatically provisions the necessary virtual machines, allocates virtualized storage, and updates network switches instantly without human administrative intervention.</w:t>
      </w:r>
    </w:p>
    <w:p w14:paraId="4186B0AE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Simplified Lifecycle Management: Hardware maintenance becomes trivial; administrators can seamlessly put a physical server into "maintenance mode," prompting the SDDC to automatically live-migrate all operating workloads onto alternative hardware with zero application interruption.</w:t>
      </w:r>
    </w:p>
    <w:p w14:paraId="23DA370F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4. Completeness &amp; Clarity</w:t>
      </w:r>
    </w:p>
    <w:p w14:paraId="3E40E894">
      <w:pPr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Conclusion: SDDCs shift the operational focus away from error-prone manual hardware management into predictable, high-speed software automation.</w:t>
      </w:r>
    </w:p>
    <w:p w14:paraId="6EEBDBCF">
      <w:pPr>
        <w:spacing w:line="360" w:lineRule="auto"/>
        <w:rPr>
          <w:sz w:val="24"/>
          <w:szCs w:val="24"/>
          <w:lang w:val="en-IN"/>
        </w:rPr>
      </w:pPr>
      <w:r>
        <w:rPr>
          <w:lang w:val="en-IN"/>
        </w:rPr>
        <w:br w:type="page"/>
      </w:r>
      <w:r>
        <w:rPr>
          <w:sz w:val="24"/>
          <w:szCs w:val="24"/>
          <w:lang w:val="en-IN"/>
        </w:rPr>
        <w:t>Question 4: Cloud-Based Healthcare Identity &amp; Data Privacy</w:t>
      </w:r>
    </w:p>
    <w:p w14:paraId="4AC79FEA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1. Relevance to Application</w:t>
      </w:r>
    </w:p>
    <w:p w14:paraId="6D89734D">
      <w:pPr>
        <w:numPr>
          <w:ilvl w:val="0"/>
          <w:numId w:val="19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Application Scenario: Hospital networks storing highly protected electronic health records (EHRs) in a cloud infrastructure while requiring instant data access for doctors, nurses, and external laboratories. </w:t>
      </w:r>
    </w:p>
    <w:p w14:paraId="5CF742BE">
      <w:pPr>
        <w:numPr>
          <w:ilvl w:val="0"/>
          <w:numId w:val="19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Relevance: Healthcare architectures must strictly satisfy compliance regulations (like HIPAA or GDPR) to shield sensitive clinical data from unauthorized viewing while remaining highly accessible. </w:t>
      </w:r>
    </w:p>
    <w:p w14:paraId="79D36AD2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2. Use of Cloud Concepts</w:t>
      </w:r>
    </w:p>
    <w:p w14:paraId="5623D586">
      <w:pPr>
        <w:numPr>
          <w:ilvl w:val="0"/>
          <w:numId w:val="20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Role-Based &amp; Attribute-Based Access Control (RBAC/ABAC): Defining context-driven rules that calculate dynamic data access configurations.</w:t>
      </w:r>
    </w:p>
    <w:p w14:paraId="02F12DB5">
      <w:pPr>
        <w:numPr>
          <w:ilvl w:val="0"/>
          <w:numId w:val="20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Data-at-Rest and Data-in-Transit Encryption: Safeguarding medical records using cryptographic standards managed by Cloud Key Management Services (KMS).</w:t>
      </w:r>
    </w:p>
    <w:p w14:paraId="021E2C26">
      <w:pPr>
        <w:numPr>
          <w:ilvl w:val="0"/>
          <w:numId w:val="20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Comprehensive Audit Trails: Maintaining unalterable, automated logs detailing precisely who accessed or modified patient data.</w:t>
      </w:r>
    </w:p>
    <w:p w14:paraId="6A02261B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3. Practical Insight</w:t>
      </w:r>
    </w:p>
    <w:p w14:paraId="64D62BB4">
      <w:pPr>
        <w:numPr>
          <w:ilvl w:val="0"/>
          <w:numId w:val="21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Implementing Zero-Trust &amp; Privacy Policies: Utilizing ABAC rules ensures that a user can only view a specific patient record if they are the designated attending physician </w:t>
      </w:r>
      <w:r>
        <w:rPr>
          <w:i/>
          <w:iCs/>
          <w:sz w:val="24"/>
          <w:szCs w:val="24"/>
          <w:lang w:val="en-IN"/>
        </w:rPr>
        <w:t>and</w:t>
      </w:r>
      <w:r>
        <w:rPr>
          <w:sz w:val="24"/>
          <w:szCs w:val="24"/>
          <w:lang w:val="en-IN"/>
        </w:rPr>
        <w:t xml:space="preserve"> are accessing the network from an authenticated hospital device.</w:t>
      </w:r>
    </w:p>
    <w:p w14:paraId="71ADE69D">
      <w:pPr>
        <w:numPr>
          <w:ilvl w:val="0"/>
          <w:numId w:val="21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Anonymization and Masking: When medical datasets are requested for research purposes, identity tools automatically mask patient identifying details, serving only clean, compliant, anonymous medical trends.</w:t>
      </w:r>
    </w:p>
    <w:p w14:paraId="1057D563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4. Completeness &amp; Clarity</w:t>
      </w:r>
    </w:p>
    <w:p w14:paraId="0CEDF5D7">
      <w:pPr>
        <w:numPr>
          <w:ilvl w:val="0"/>
          <w:numId w:val="22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Conclusion: Robust identity and access governance ensures that data accessibility never compromises a patient's fundamental right to medical record privacy.</w:t>
      </w:r>
    </w:p>
    <w:p w14:paraId="304ECCA2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lang w:val="en-IN"/>
        </w:rPr>
        <w:br w:type="page"/>
      </w:r>
      <w:r>
        <w:rPr>
          <w:b/>
          <w:bCs/>
          <w:sz w:val="24"/>
          <w:szCs w:val="24"/>
          <w:lang w:val="en-IN"/>
        </w:rPr>
        <w:t>Question 5: Virtualization &amp; Hypervisors Supporting Scalability</w:t>
      </w:r>
    </w:p>
    <w:p w14:paraId="6996380D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1. Relevance to Application</w:t>
      </w:r>
    </w:p>
    <w:p w14:paraId="45428FDF">
      <w:pPr>
        <w:numPr>
          <w:ilvl w:val="0"/>
          <w:numId w:val="23"/>
        </w:numPr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Application Scenario:</w:t>
      </w:r>
      <w:r>
        <w:rPr>
          <w:sz w:val="24"/>
          <w:szCs w:val="24"/>
          <w:lang w:val="en-IN"/>
        </w:rPr>
        <w:t xml:space="preserve"> Modern cloud SaaS or e-commerce platforms that experience dynamic resource requirements fluctuating daily, requiring optimal underlying hardware usage. </w:t>
      </w:r>
    </w:p>
    <w:p w14:paraId="31C54A51">
      <w:pPr>
        <w:numPr>
          <w:ilvl w:val="0"/>
          <w:numId w:val="23"/>
        </w:numPr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Relevance:</w:t>
      </w:r>
      <w:r>
        <w:rPr>
          <w:sz w:val="24"/>
          <w:szCs w:val="24"/>
          <w:lang w:val="en-IN"/>
        </w:rPr>
        <w:t xml:space="preserve"> The hypervisor acts as the fundamental translation layer that allows multiple independent operating systems to seamlessly split a single set of physical resources. </w:t>
      </w:r>
    </w:p>
    <w:p w14:paraId="7A27EF39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2. Use of Cloud Concepts</w:t>
      </w:r>
    </w:p>
    <w:p w14:paraId="23976F34">
      <w:pPr>
        <w:numPr>
          <w:ilvl w:val="0"/>
          <w:numId w:val="24"/>
        </w:numPr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Resource Overcommit &amp; Consolidation:</w:t>
      </w:r>
      <w:r>
        <w:rPr>
          <w:sz w:val="24"/>
          <w:szCs w:val="24"/>
          <w:lang w:val="en-IN"/>
        </w:rPr>
        <w:t xml:space="preserve"> Maximizing the efficiency of underlying CPU, memory, and storage allocation by assigning dormant capacity to active workloads.</w:t>
      </w:r>
    </w:p>
    <w:p w14:paraId="0153D66B">
      <w:pPr>
        <w:numPr>
          <w:ilvl w:val="0"/>
          <w:numId w:val="24"/>
        </w:numPr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Elastic Horizontal Scalability:</w:t>
      </w:r>
      <w:r>
        <w:rPr>
          <w:sz w:val="24"/>
          <w:szCs w:val="24"/>
          <w:lang w:val="en-IN"/>
        </w:rPr>
        <w:t xml:space="preserve"> Spinning up or tearing down identical VM instances dynamically based on immediate processing loads.</w:t>
      </w:r>
    </w:p>
    <w:p w14:paraId="76F57EC4">
      <w:pPr>
        <w:numPr>
          <w:ilvl w:val="0"/>
          <w:numId w:val="24"/>
        </w:numPr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Hardware Abstraction:</w:t>
      </w:r>
      <w:r>
        <w:rPr>
          <w:sz w:val="24"/>
          <w:szCs w:val="24"/>
          <w:lang w:val="en-IN"/>
        </w:rPr>
        <w:t xml:space="preserve"> Decoupling software dependencies from specific physical hardware models, standardizing core deployments.</w:t>
      </w:r>
    </w:p>
    <w:p w14:paraId="7A16D0F1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3. Practical Insight</w:t>
      </w:r>
    </w:p>
    <w:p w14:paraId="1D710D2D">
      <w:pPr>
        <w:numPr>
          <w:ilvl w:val="0"/>
          <w:numId w:val="25"/>
        </w:numPr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Achieving Resource Efficiency:</w:t>
      </w:r>
      <w:r>
        <w:rPr>
          <w:sz w:val="24"/>
          <w:szCs w:val="24"/>
          <w:lang w:val="en-IN"/>
        </w:rPr>
        <w:t xml:space="preserve"> Without hypervisors, a dedicated bare-metal server often runs at a mere 10%–15% CPU utilization capacity. Hypervisors consolidate dozens of disparate VMs onto that single server, pushing resource utilization to 80%+ safely.</w:t>
      </w:r>
    </w:p>
    <w:p w14:paraId="66518C02">
      <w:pPr>
        <w:numPr>
          <w:ilvl w:val="0"/>
          <w:numId w:val="25"/>
        </w:numPr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Rapid Scale-Out Mechanisms:</w:t>
      </w:r>
      <w:r>
        <w:rPr>
          <w:sz w:val="24"/>
          <w:szCs w:val="24"/>
          <w:lang w:val="en-IN"/>
        </w:rPr>
        <w:t xml:space="preserve"> During heavy data processing jobs, the hypervisor clones active production instances instantly from pre-configured master templates, utilizing shared storage repositories to accommodate sudden data analysis rushes without purchasing additional hardware.</w:t>
      </w:r>
    </w:p>
    <w:p w14:paraId="18FAD9EF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4. Completeness &amp; Clarity</w:t>
      </w:r>
    </w:p>
    <w:p w14:paraId="3CAB5D41">
      <w:pPr>
        <w:numPr>
          <w:ilvl w:val="0"/>
          <w:numId w:val="26"/>
        </w:numPr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Conclusion:</w:t>
      </w:r>
      <w:r>
        <w:rPr>
          <w:sz w:val="24"/>
          <w:szCs w:val="24"/>
          <w:lang w:val="en-IN"/>
        </w:rPr>
        <w:t xml:space="preserve"> Hypervisors serve as the structural backbone of cloud computing, transforming static hardware limitations into elastic, cost-efficient, and highly scalable resources.</w:t>
      </w:r>
    </w:p>
    <w:p w14:paraId="7196D064">
      <w:pPr>
        <w:rPr>
          <w:lang w:val="en-IN"/>
        </w:rPr>
      </w:pPr>
    </w:p>
    <w:p w14:paraId="34FF1C98">
      <w:pPr>
        <w:rPr>
          <w:lang w:val="en-IN"/>
        </w:rPr>
      </w:pPr>
    </w:p>
    <w:p w14:paraId="6D072C0D">
      <w:pPr>
        <w:rPr>
          <w:lang w:val="en-IN"/>
        </w:rPr>
      </w:pPr>
      <w:r>
        <w:rPr>
          <w:lang w:val="en-IN"/>
        </w:rPr>
        <w:br w:type="page"/>
      </w:r>
    </w:p>
    <w:sectPr>
      <w:pgSz w:w="12240" w:h="15840"/>
      <w:pgMar w:top="840" w:right="1000" w:bottom="840" w:left="1000" w:header="360" w:footer="36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moder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24A7C3E"/>
    <w:multiLevelType w:val="multilevel"/>
    <w:tmpl w:val="024A7C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3D35C44"/>
    <w:multiLevelType w:val="multilevel"/>
    <w:tmpl w:val="03D35C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06907172"/>
    <w:multiLevelType w:val="multilevel"/>
    <w:tmpl w:val="069071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09831689"/>
    <w:multiLevelType w:val="multilevel"/>
    <w:tmpl w:val="09831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7961271"/>
    <w:multiLevelType w:val="multilevel"/>
    <w:tmpl w:val="179612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188C7353"/>
    <w:multiLevelType w:val="multilevel"/>
    <w:tmpl w:val="188C73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ABD5C40"/>
    <w:multiLevelType w:val="multilevel"/>
    <w:tmpl w:val="2ABD5C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C1F6496"/>
    <w:multiLevelType w:val="multilevel"/>
    <w:tmpl w:val="2C1F64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D345A36"/>
    <w:multiLevelType w:val="multilevel"/>
    <w:tmpl w:val="2D345A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2F156205"/>
    <w:multiLevelType w:val="multilevel"/>
    <w:tmpl w:val="2F1562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70A2BAD"/>
    <w:multiLevelType w:val="multilevel"/>
    <w:tmpl w:val="370A2B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3BC53F83"/>
    <w:multiLevelType w:val="multilevel"/>
    <w:tmpl w:val="3BC53F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4F496187"/>
    <w:multiLevelType w:val="multilevel"/>
    <w:tmpl w:val="4F4961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60B3C8D"/>
    <w:multiLevelType w:val="multilevel"/>
    <w:tmpl w:val="560B3C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6FB2378"/>
    <w:multiLevelType w:val="multilevel"/>
    <w:tmpl w:val="56FB23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5A1C3C51"/>
    <w:multiLevelType w:val="multilevel"/>
    <w:tmpl w:val="5A1C3C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64DE7011"/>
    <w:multiLevelType w:val="multilevel"/>
    <w:tmpl w:val="64DE70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69972113"/>
    <w:multiLevelType w:val="multilevel"/>
    <w:tmpl w:val="699721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792E2CF9"/>
    <w:multiLevelType w:val="multilevel"/>
    <w:tmpl w:val="792E2C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7E8055F5"/>
    <w:multiLevelType w:val="multilevel"/>
    <w:tmpl w:val="7E8055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21"/>
  </w:num>
  <w:num w:numId="8">
    <w:abstractNumId w:val="22"/>
  </w:num>
  <w:num w:numId="9">
    <w:abstractNumId w:val="10"/>
  </w:num>
  <w:num w:numId="10">
    <w:abstractNumId w:val="20"/>
  </w:num>
  <w:num w:numId="11">
    <w:abstractNumId w:val="6"/>
  </w:num>
  <w:num w:numId="12">
    <w:abstractNumId w:val="16"/>
  </w:num>
  <w:num w:numId="13">
    <w:abstractNumId w:val="13"/>
  </w:num>
  <w:num w:numId="14">
    <w:abstractNumId w:val="11"/>
  </w:num>
  <w:num w:numId="15">
    <w:abstractNumId w:val="18"/>
  </w:num>
  <w:num w:numId="16">
    <w:abstractNumId w:val="17"/>
  </w:num>
  <w:num w:numId="17">
    <w:abstractNumId w:val="12"/>
  </w:num>
  <w:num w:numId="18">
    <w:abstractNumId w:val="15"/>
  </w:num>
  <w:num w:numId="19">
    <w:abstractNumId w:val="8"/>
  </w:num>
  <w:num w:numId="20">
    <w:abstractNumId w:val="19"/>
  </w:num>
  <w:num w:numId="21">
    <w:abstractNumId w:val="7"/>
  </w:num>
  <w:num w:numId="22">
    <w:abstractNumId w:val="24"/>
  </w:num>
  <w:num w:numId="23">
    <w:abstractNumId w:val="25"/>
  </w:num>
  <w:num w:numId="24">
    <w:abstractNumId w:val="9"/>
  </w:num>
  <w:num w:numId="25">
    <w:abstractNumId w:val="14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1B1C"/>
    <w:rsid w:val="0015074B"/>
    <w:rsid w:val="001A044A"/>
    <w:rsid w:val="001B136A"/>
    <w:rsid w:val="0029639D"/>
    <w:rsid w:val="00326F90"/>
    <w:rsid w:val="0034087D"/>
    <w:rsid w:val="004459DE"/>
    <w:rsid w:val="004C57AE"/>
    <w:rsid w:val="00927FE8"/>
    <w:rsid w:val="00AA1D8D"/>
    <w:rsid w:val="00AD3B2B"/>
    <w:rsid w:val="00AF2231"/>
    <w:rsid w:val="00B13502"/>
    <w:rsid w:val="00B47730"/>
    <w:rsid w:val="00BB0EA4"/>
    <w:rsid w:val="00CB0664"/>
    <w:rsid w:val="00F33CBE"/>
    <w:rsid w:val="00F8578C"/>
    <w:rsid w:val="00FC693F"/>
    <w:rsid w:val="1B2FD169"/>
    <w:rsid w:val="3D137F5D"/>
    <w:rsid w:val="621D7972"/>
    <w:rsid w:val="6C6831E0"/>
    <w:rsid w:val="6E2EF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MS Mincho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MS Mincho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/>
      <w:b/>
      <w:bCs/>
      <w:color w:val="365F91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/>
      <w:b/>
      <w:bCs/>
      <w:color w:val="4F81BD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/>
      <w:b/>
      <w:bCs/>
      <w:i/>
      <w:iCs/>
      <w:color w:val="4F81BD"/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/>
      <w:color w:val="243F6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/>
      <w:i/>
      <w:iCs/>
      <w:color w:val="243F6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/>
      <w:i/>
      <w:iCs/>
      <w:color w:val="404040"/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/>
      <w:color w:val="4F81BD"/>
      <w:sz w:val="20"/>
      <w:szCs w:val="20"/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/>
      <w:i/>
      <w:iCs/>
      <w:color w:val="404040"/>
      <w:sz w:val="20"/>
      <w:szCs w:val="20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character" w:styleId="17">
    <w:name w:val="Emphasis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MS Mincho" w:cs="Times New Roman"/>
      <w:lang w:val="en-US" w:eastAsia="en-US" w:bidi="ar-SA"/>
    </w:rPr>
  </w:style>
  <w:style w:type="character" w:styleId="33">
    <w:name w:val="Strong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="Calibri" w:hAnsi="Calibri" w:eastAsia="MS Gothic"/>
      <w:i/>
      <w:iCs/>
      <w:color w:val="4F81BD"/>
      <w:spacing w:val="15"/>
      <w:sz w:val="24"/>
      <w:szCs w:val="24"/>
    </w:rPr>
  </w:style>
  <w:style w:type="table" w:styleId="35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/>
      <w:color w:val="17365D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38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9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40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41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42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43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44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5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6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7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8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9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50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51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3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4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75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6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7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78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79">
    <w:name w:val="Medium List 2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rPr>
      <w:rFonts w:ascii="Calibri" w:hAnsi="Calibri" w:eastAsia="MS Gothic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rPr>
      <w:rFonts w:ascii="Calibri" w:hAnsi="Calibri" w:eastAsia="MS Gothic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rPr>
      <w:rFonts w:ascii="Calibri" w:hAnsi="Calibri" w:eastAsia="MS Gothic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7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88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9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90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91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92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3">
    <w:name w:val="Medium Grid 2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1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2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3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2 Accent 4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8">
    <w:name w:val="Medium Grid 2 Accent 5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9">
    <w:name w:val="Medium Grid 2 Accent 6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00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1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02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3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4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5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6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7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8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09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10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11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12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3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114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5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8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9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0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1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22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3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24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5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6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27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28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29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30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31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32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3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4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rPr>
      <w:rFonts w:ascii="Cambria" w:hAnsi="Cambria" w:eastAsia="MS Mincho" w:cs="Times New Roman"/>
      <w:sz w:val="22"/>
      <w:szCs w:val="22"/>
      <w:lang w:val="en-US" w:eastAsia="en-US" w:bidi="ar-SA"/>
    </w:rPr>
  </w:style>
  <w:style w:type="character" w:customStyle="1" w:styleId="138">
    <w:name w:val="Heading 1 Char"/>
    <w:link w:val="2"/>
    <w:qFormat/>
    <w:uiPriority w:val="9"/>
    <w:rPr>
      <w:rFonts w:ascii="Calibri" w:hAnsi="Calibri" w:eastAsia="MS Gothic" w:cs="Times New Roman"/>
      <w:b/>
      <w:bCs/>
      <w:color w:val="365F91"/>
      <w:sz w:val="28"/>
      <w:szCs w:val="28"/>
    </w:rPr>
  </w:style>
  <w:style w:type="character" w:customStyle="1" w:styleId="139">
    <w:name w:val="Heading 2 Char"/>
    <w:link w:val="3"/>
    <w:qFormat/>
    <w:uiPriority w:val="9"/>
    <w:rPr>
      <w:rFonts w:ascii="Calibri" w:hAnsi="Calibri" w:eastAsia="MS Gothic" w:cs="Times New Roman"/>
      <w:b/>
      <w:bCs/>
      <w:color w:val="4F81BD"/>
      <w:sz w:val="26"/>
      <w:szCs w:val="26"/>
    </w:rPr>
  </w:style>
  <w:style w:type="character" w:customStyle="1" w:styleId="140">
    <w:name w:val="Heading 3 Char"/>
    <w:link w:val="4"/>
    <w:uiPriority w:val="9"/>
    <w:rPr>
      <w:rFonts w:ascii="Calibri" w:hAnsi="Calibri" w:eastAsia="MS Gothic" w:cs="Times New Roman"/>
      <w:b/>
      <w:bCs/>
      <w:color w:val="4F81BD"/>
    </w:rPr>
  </w:style>
  <w:style w:type="character" w:customStyle="1" w:styleId="141">
    <w:name w:val="Title Char"/>
    <w:link w:val="36"/>
    <w:uiPriority w:val="10"/>
    <w:rPr>
      <w:rFonts w:ascii="Calibri" w:hAnsi="Calibri" w:eastAsia="MS Gothic" w:cs="Times New Roman"/>
      <w:color w:val="17365D"/>
      <w:spacing w:val="5"/>
      <w:kern w:val="28"/>
      <w:sz w:val="52"/>
      <w:szCs w:val="52"/>
    </w:rPr>
  </w:style>
  <w:style w:type="character" w:customStyle="1" w:styleId="142">
    <w:name w:val="Subtitle Char"/>
    <w:link w:val="34"/>
    <w:uiPriority w:val="11"/>
    <w:rPr>
      <w:rFonts w:ascii="Calibri" w:hAnsi="Calibri" w:eastAsia="MS Gothic" w:cs="Times New Roman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link w:val="15"/>
    <w:qFormat/>
    <w:uiPriority w:val="99"/>
    <w:rPr>
      <w:sz w:val="16"/>
      <w:szCs w:val="16"/>
    </w:rPr>
  </w:style>
  <w:style w:type="character" w:customStyle="1" w:styleId="147">
    <w:name w:val="Macro Text Char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"/>
    <w:link w:val="148"/>
    <w:qFormat/>
    <w:uiPriority w:val="29"/>
    <w:rPr>
      <w:i/>
      <w:iCs/>
      <w:color w:val="000000"/>
    </w:rPr>
  </w:style>
  <w:style w:type="character" w:customStyle="1" w:styleId="150">
    <w:name w:val="Heading 4 Char"/>
    <w:link w:val="5"/>
    <w:semiHidden/>
    <w:uiPriority w:val="9"/>
    <w:rPr>
      <w:rFonts w:ascii="Calibri" w:hAnsi="Calibri" w:eastAsia="MS Gothic" w:cs="Times New Roman"/>
      <w:b/>
      <w:bCs/>
      <w:i/>
      <w:iCs/>
      <w:color w:val="4F81BD"/>
    </w:rPr>
  </w:style>
  <w:style w:type="character" w:customStyle="1" w:styleId="151">
    <w:name w:val="Heading 5 Char"/>
    <w:link w:val="6"/>
    <w:semiHidden/>
    <w:qFormat/>
    <w:uiPriority w:val="9"/>
    <w:rPr>
      <w:rFonts w:ascii="Calibri" w:hAnsi="Calibri" w:eastAsia="MS Gothic" w:cs="Times New Roman"/>
      <w:color w:val="243F60"/>
    </w:rPr>
  </w:style>
  <w:style w:type="character" w:customStyle="1" w:styleId="152">
    <w:name w:val="Heading 6 Char"/>
    <w:link w:val="7"/>
    <w:semiHidden/>
    <w:uiPriority w:val="9"/>
    <w:rPr>
      <w:rFonts w:ascii="Calibri" w:hAnsi="Calibri" w:eastAsia="MS Gothic" w:cs="Times New Roman"/>
      <w:i/>
      <w:iCs/>
      <w:color w:val="243F60"/>
    </w:rPr>
  </w:style>
  <w:style w:type="character" w:customStyle="1" w:styleId="153">
    <w:name w:val="Heading 7 Char"/>
    <w:link w:val="8"/>
    <w:semiHidden/>
    <w:uiPriority w:val="9"/>
    <w:rPr>
      <w:rFonts w:ascii="Calibri" w:hAnsi="Calibri" w:eastAsia="MS Gothic" w:cs="Times New Roman"/>
      <w:i/>
      <w:iCs/>
      <w:color w:val="404040"/>
    </w:rPr>
  </w:style>
  <w:style w:type="character" w:customStyle="1" w:styleId="154">
    <w:name w:val="Heading 8 Char"/>
    <w:link w:val="9"/>
    <w:semiHidden/>
    <w:qFormat/>
    <w:uiPriority w:val="9"/>
    <w:rPr>
      <w:rFonts w:ascii="Calibri" w:hAnsi="Calibri" w:eastAsia="MS Gothic" w:cs="Times New Roman"/>
      <w:color w:val="4F81BD"/>
      <w:sz w:val="20"/>
      <w:szCs w:val="20"/>
    </w:rPr>
  </w:style>
  <w:style w:type="character" w:customStyle="1" w:styleId="155">
    <w:name w:val="Heading 9 Char"/>
    <w:link w:val="10"/>
    <w:semiHidden/>
    <w:qFormat/>
    <w:uiPriority w:val="9"/>
    <w:rPr>
      <w:rFonts w:ascii="Calibri" w:hAnsi="Calibri" w:eastAsia="MS Gothic" w:cs="Times New Roman"/>
      <w:i/>
      <w:iCs/>
      <w:color w:val="40404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"/>
    <w:link w:val="156"/>
    <w:uiPriority w:val="30"/>
    <w:rPr>
      <w:b/>
      <w:bCs/>
      <w:i/>
      <w:iCs/>
      <w:color w:val="4F81BD"/>
    </w:rPr>
  </w:style>
  <w:style w:type="character" w:customStyle="1" w:styleId="158">
    <w:name w:val="Subtle Emphasis"/>
    <w:qFormat/>
    <w:uiPriority w:val="19"/>
    <w:rPr>
      <w:i/>
      <w:iCs/>
      <w:color w:val="808080"/>
    </w:rPr>
  </w:style>
  <w:style w:type="character" w:customStyle="1" w:styleId="159">
    <w:name w:val="Intense Emphasis"/>
    <w:qFormat/>
    <w:uiPriority w:val="21"/>
    <w:rPr>
      <w:b/>
      <w:bCs/>
      <w:i/>
      <w:iCs/>
      <w:color w:val="4F81BD"/>
    </w:rPr>
  </w:style>
  <w:style w:type="character" w:customStyle="1" w:styleId="160">
    <w:name w:val="Subtle Reference"/>
    <w:qFormat/>
    <w:uiPriority w:val="31"/>
    <w:rPr>
      <w:smallCaps/>
      <w:color w:val="C0504D"/>
      <w:u w:val="single"/>
    </w:rPr>
  </w:style>
  <w:style w:type="character" w:customStyle="1" w:styleId="161">
    <w:name w:val="Intense Reference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eastAsia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33C609-A23F-45BF-937D-5A50B4340F3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1206</Words>
  <Characters>8369</Characters>
  <TotalTime>0</TotalTime>
  <ScaleCrop>false</ScaleCrop>
  <LinksUpToDate>false</LinksUpToDate>
  <CharactersWithSpaces>9479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2026-07-27T12:59:00Z</dcterms:created>
  <dc:creator>python-docx</dc:creator>
  <dc:description>generated by python-docx</dc:description>
  <cp:lastModifiedBy>Tejaswini</cp:lastModifiedBy>
  <dcterms:modified xsi:type="dcterms:W3CDTF">2026-07-28T14:11:43Z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eyJoZGlkIjoiNzdjNzEwZDQwZDZhODc5YWQzNWM2YWJhOTNkYjM1NzMifQ==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1C6031FF2FE945C99953019226730785_13</vt:lpwstr>
  </property>
</Properties>
</file>