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b/>
          <w:bCs/>
          <w:color w:val="1F4E79"/>
          <w:spacing w:val="20"/>
          <w:sz w:val="22"/>
          <w:szCs w:val="22"/>
        </w:rPr>
        <w:t xml:space="preserve">IITM PRAVARTAK</w:t>
      </w:r>
    </w:p>
    <w:p>
      <w:pPr>
        <w:spacing w:after="480"/>
        <w:jc w:val="center"/>
      </w:pPr>
      <w:r>
        <w:rPr>
          <w:color w:val="5F5E5A"/>
          <w:sz w:val="22"/>
          <w:szCs w:val="22"/>
        </w:rPr>
        <w:t xml:space="preserve">Advanced Certification Programme in Agentic AI</w:t>
      </w:r>
    </w:p>
    <w:p>
      <w:pPr>
        <w:spacing w:after="200"/>
        <w:jc w:val="center"/>
      </w:pPr>
      <w:r>
        <w:rPr>
          <w:b/>
          <w:bCs/>
          <w:color w:val="1F4E79"/>
          <w:sz w:val="44"/>
          <w:szCs w:val="44"/>
        </w:rPr>
        <w:t xml:space="preserve">Capstone Project Report</w:t>
      </w:r>
    </w:p>
    <w:p>
      <w:pPr>
        <w:spacing w:after="120"/>
        <w:jc w:val="center"/>
      </w:pPr>
      <w:r>
        <w:rPr>
          <w:b/>
          <w:bCs/>
          <w:color w:val="1a1a18"/>
          <w:sz w:val="32"/>
          <w:szCs w:val="32"/>
        </w:rPr>
        <w:t xml:space="preserve">AI-Powered PHI De-identification &amp; Compliance Workflow</w:t>
      </w:r>
    </w:p>
    <w:p>
      <w:pPr>
        <w:spacing w:after="800"/>
        <w:jc w:val="center"/>
      </w:pPr>
      <w:r>
        <w:rPr>
          <w:i/>
          <w:iCs/>
          <w:color w:val="5F5E5A"/>
          <w:sz w:val="24"/>
          <w:szCs w:val="24"/>
        </w:rPr>
        <w:t xml:space="preserve">A LangGraph Multi-Agent System for Detecting, Redacting, and Auditing Protected Health Information in Clinical Documents</w:t>
      </w:r>
    </w:p>
    <w:p>
      <w:pPr>
        <w:spacing w:after="800"/>
      </w:pPr>
    </w:p>
    <w:p>
      <w:pPr>
        <w:spacing w:after="100"/>
        <w:jc w:val="center"/>
      </w:pPr>
      <w:r>
        <w:rPr>
          <w:b/>
          <w:bCs/>
          <w:sz w:val="22"/>
          <w:szCs w:val="22"/>
        </w:rPr>
        <w:t xml:space="preserve">Group Number: [FILL IN — see group allocation sheet]</w:t>
      </w:r>
    </w:p>
    <w:p>
      <w:pPr>
        <w:spacing w:after="100"/>
        <w:jc w:val="center"/>
      </w:pPr>
      <w:r>
        <w:rPr>
          <w:sz w:val="22"/>
          <w:szCs w:val="22"/>
        </w:rPr>
        <w:t xml:space="preserve">Team Members: [FILL IN full names of contributing members]</w:t>
      </w:r>
    </w:p>
    <w:p>
      <w:pPr>
        <w:spacing w:after="100"/>
        <w:jc w:val="center"/>
      </w:pPr>
      <w:r>
        <w:rPr>
          <w:sz w:val="22"/>
          <w:szCs w:val="22"/>
        </w:rPr>
        <w:t xml:space="preserve">Submission Date: [FILL IN]</w:t>
      </w:r>
    </w:p>
    <w:p>
      <w:pPr>
        <w:sectPr>
          <w:pgSz w:w="12240" w:h="15840" w:orient="portrait"/>
          <w:pgMar w:top="1440" w:right="1440" w:bottom="1440" w:left="1440" w:header="708" w:footer="708" w:gutter="0"/>
          <w:pgNumType/>
          <w:docGrid w:linePitch="360"/>
        </w:sectPr>
      </w:pPr>
    </w:p>
    <w:p>
      <w:pPr>
        <w:pStyle w:val="Heading1"/>
        <w:spacing w:after="160" w:before="360"/>
      </w:pPr>
      <w:r>
        <w:t xml:space="preserve">Project Links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val="clear"/>
          </w:tcPr>
          <w:p>
            <w:r>
              <w:rPr>
                <w:b/>
                <w:bCs/>
                <w:color w:val="FFFFFF"/>
                <w:sz w:val="19"/>
                <w:szCs w:val="19"/>
              </w:rPr>
              <w:t xml:space="preserve">GitHub Repository</w:t>
            </w:r>
          </w:p>
        </w:tc>
        <w:tc>
          <w:tcPr>
            <w:tcW w:type="dxa" w:w="6800"/>
          </w:tcPr>
          <w:p>
            <w:r>
              <w:rPr>
                <w:b w:val="false"/>
                <w:bCs w:val="false"/>
                <w:color w:val="1a1a18"/>
                <w:sz w:val="18"/>
                <w:szCs w:val="18"/>
              </w:rPr>
              <w:t xml:space="preserve">[FILL IN — repo URL after pushing]</w:t>
            </w:r>
          </w:p>
        </w:tc>
      </w:tr>
      <w:tr>
        <w:tc>
          <w:tcPr>
            <w:tcW w:type="dxa" w:w="2600"/>
            <w:shd w:fill="1F4E79" w:val="clear"/>
          </w:tcPr>
          <w:p>
            <w:r>
              <w:rPr>
                <w:b/>
                <w:bCs/>
                <w:color w:val="FFFFFF"/>
                <w:sz w:val="19"/>
                <w:szCs w:val="19"/>
              </w:rPr>
              <w:t xml:space="preserve">Live Demo (Hugging Face Space)</w:t>
            </w:r>
          </w:p>
        </w:tc>
        <w:tc>
          <w:tcPr>
            <w:tcW w:type="dxa" w:w="6800"/>
          </w:tcPr>
          <w:p>
            <w:r>
              <w:rPr>
                <w:b w:val="false"/>
                <w:bCs w:val="false"/>
                <w:color w:val="1a1a18"/>
                <w:sz w:val="18"/>
                <w:szCs w:val="18"/>
              </w:rPr>
              <w:t xml:space="preserve">[FILL IN — Space URL once the build finishes]</w:t>
            </w:r>
          </w:p>
        </w:tc>
      </w:tr>
    </w:tbl>
    <w:p>
      <w:pPr>
        <w:spacing w:after="200"/>
      </w:pPr>
    </w:p>
    <w:p>
      <w:pPr>
        <w:spacing w:after="160"/>
      </w:pPr>
      <w:r>
        <w:t xml:space="preserve">The live demo runs the exact same FastAPI + Streamlit architecture described in Section 2 and Section 7, deployed as a single Hugging Face Space container (see Dockerfile and start.sh in the repository). No account or manual API key entry is required to try it — the API key is pre-configured as a Space secret, and the Streamlit sidebar reads it automatically from the shared container environment.</w:t>
      </w:r>
    </w:p>
    <w:p>
      <w:pPr>
        <w:pStyle w:val="Heading1"/>
        <w:spacing w:after="160" w:before="360"/>
      </w:pPr>
      <w:r>
        <w:t xml:space="preserve">Executive Summary</w:t>
      </w:r>
    </w:p>
    <w:p>
      <w:pPr>
        <w:spacing w:after="160"/>
      </w:pPr>
      <w:r>
        <w:t xml:space="preserve">This project implements a production-hardened, multi-agent pipeline that automatically detects and redacts Protected Health Information (PHI) from clinical documents, in line with the 18 HIPAA Safe Harbor identifier categories. The system is orchestrated as a genuine LangGraph StateGraph — not a linear script — with conditional routing, a persistent checkpointer, a human-in-the-loop review node built on LangGraph's interrupt() primitive, and a bounded retry loop that re-validates redacted output before it is ever returned to a caller.</w:t>
      </w:r>
    </w:p>
    <w:p>
      <w:pPr>
        <w:spacing w:after="160"/>
      </w:pPr>
      <w:r>
        <w:t xml:space="preserve">The pipeline was originally scoped against the n2c2 2014 de-identification benchmark. That dataset is currently listed as “Temporarily Unavailable” on the DBMI Data Portal, so the team pivoted to a reproducible alternative: real clinical document structure from the Kaggle “Medical Transcriptions” corpus (mtsamples), combined with a synthetic PHI injector built on Faker that stamps a labeled, exact-character-offset ground truth onto every document. This produced 354 labeled documents spanning 7 clinical document types and 2,150+ labeled PHI spans, which the team then used for real, repeatable precision/recall/F1 evaluation — not a self-reported number.</w:t>
      </w:r>
    </w:p>
    <w:p>
      <w:pPr>
        <w:spacing w:after="160"/>
      </w:pPr>
      <w:r>
        <w:t xml:space="preserve">Beyond the core detect-redact-validate loop, the system was hardened for production use: per-entity-type confidence thresholds calibrated against real eval data, three previously-unsupported PHI categories added to close a genuine 0% recall gap, a SQLite-backed checkpointer so an in-flight human review session survives a process restart, API key authentication on every PHI-handling endpoint, and PHI-safe logging that never echoes document content back to a caller on error. A Streamlit UI was built as a thin HTTP client of the FastAPI backend — deliberately not a direct importer of the pipeline — mirroring how a real deployment would separate the enforcement point (the API) from any given client.</w:t>
      </w:r>
    </w:p>
    <w:p>
      <w:pPr>
        <w:spacing w:after="160"/>
      </w:pPr>
      <w:r>
        <w:t xml:space="preserve">Live end-to-end testing through that UI, using real uploaded .docx and .pdf files, surfaced and led to the fix of four genuine bugs that a synthetic offline evaluation run could never have caught on its own: a phone-number regex that silently dropped extension-suffixed numbers, a named-entity match that bled across a line break and corrupted adjacent header fields, a post-processing overlap-resolution bug that discarded correct high-confidence detections in favor of incorrect low-confidence ones, and a human-review workflow defect where a reviewer's explicit “not PHI” decision could not actually persist across the system's own retry loop. Each is documented below with root cause, fix, and the real verification evidence used to confirm it.</w:t>
      </w:r>
    </w:p>
    <w:p>
      <w:pPr>
        <w:pStyle w:val="Heading1"/>
        <w:spacing w:after="160" w:before="360"/>
      </w:pPr>
      <w:r>
        <w:t xml:space="preserve">1. Problem Statement &amp; Motivation</w:t>
      </w:r>
    </w:p>
    <w:p>
      <w:pPr>
        <w:spacing w:after="160"/>
      </w:pPr>
      <w:r>
        <w:t xml:space="preserve">Clinical documents — lab reports, pathology reports, discharge summaries, radiology reports, referral letters, insurance documents, and general clinical notes — routinely contain PHI: patient names, dates of birth, medical record numbers, phone numbers, account and claim numbers, and more. Before such documents can be shared for research, training, or any secondary use, that PHI must be identified and removed to HIPAA Safe Harbor standard.</w:t>
      </w:r>
    </w:p>
    <w:p>
      <w:pPr>
        <w:spacing w:after="160"/>
      </w:pPr>
      <w:r>
        <w:t xml:space="preserve">Doing this by hand does not scale, and a purely automated approach carries real risk: a missed detection is a genuine PHI leak, while an over-aggressive detector destroys the clinical usefulness of the document by redacting things that were never PHI to begin with. The core design problem this project solves is therefore not “detect PHI” in isolation, but building a system that is honest about its own uncertainty — routing only the detections it is not confident about to a human reviewer, while auto-redacting the ones it can trust, and then re-validating its own output before calling the job done.</w:t>
      </w:r>
    </w:p>
    <w:p>
      <w:pPr>
        <w:spacing w:after="160"/>
      </w:pPr>
      <w:r>
        <w:t xml:space="preserve">This is why the system is built as an agentic workflow rather than a single detection function: classification, detection, human review, redaction, validation, and audit reporting are each a distinct responsibility with its own inputs, outputs, and failure modes, and the LangGraph state machine is what lets those responsibilities compose safely — including the ability to loop back and try again when validation fails.</w:t>
      </w:r>
    </w:p>
    <w:p>
      <w:pPr>
        <w:pStyle w:val="Heading1"/>
        <w:spacing w:after="160" w:before="360"/>
      </w:pPr>
      <w:r>
        <w:t xml:space="preserve">2. System Architecture</w:t>
      </w:r>
    </w:p>
    <w:p>
      <w:pPr>
        <w:spacing w:after="160"/>
      </w:pPr>
      <w:r>
        <w:t xml:space="preserve">The pipeline is implemented as a LangGraph StateGraph with the following node sequence: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Pr>
          <w:p>
            <w:r>
              <w:rPr>
                <w:b/>
                <w:bCs/>
                <w:color w:val="FFFFFF"/>
                <w:sz w:val="19"/>
                <w:szCs w:val="19"/>
              </w:rPr>
              <w:t xml:space="preserve">Node</w:t>
            </w:r>
          </w:p>
        </w:tc>
        <w:tc>
          <w:tcPr>
            <w:tcW w:type="dxa" w:w="6200"/>
            <w:shd w:fill="1F4E79" w:val="clear"/>
          </w:tcPr>
          <w:p>
            <w:r>
              <w:rPr>
                <w:b/>
                <w:bCs/>
                <w:color w:val="FFFFFF"/>
                <w:sz w:val="19"/>
                <w:szCs w:val="19"/>
              </w:rPr>
              <w:t xml:space="preserve">Responsibility</w:t>
            </w:r>
          </w:p>
        </w:tc>
      </w:tr>
      <w:tr>
        <w:tc>
          <w:tcPr>
            <w:tcW w:type="dxa" w:w="1000"/>
          </w:tcPr>
          <w:p>
            <w:r>
              <w:rPr>
                <w:b/>
                <w:bCs/>
                <w:color w:val="1a1a18"/>
                <w:sz w:val="18"/>
                <w:szCs w:val="18"/>
              </w:rPr>
              <w:t xml:space="preserve">ClassificationAgent</w:t>
            </w:r>
          </w:p>
        </w:tc>
        <w:tc>
          <w:tcPr>
            <w:tcW w:type="dxa" w:w="1000"/>
          </w:tcPr>
          <w:p>
            <w:r>
              <w:rPr>
                <w:b w:val="false"/>
                <w:bCs w:val="false"/>
                <w:color w:val="1a1a18"/>
                <w:sz w:val="18"/>
                <w:szCs w:val="18"/>
              </w:rPr>
              <w:t xml:space="preserve">Routes the document into one of 7 clinical document types, or “not_applicable” (routed straight to END, skipping PHI detection entirely) using weighted keyword/phrase heuristics — zero API keys required.</w:t>
            </w:r>
          </w:p>
        </w:tc>
      </w:tr>
      <w:tr>
        <w:tc>
          <w:tcPr>
            <w:tcW w:type="dxa" w:w="1000"/>
          </w:tcPr>
          <w:p>
            <w:r>
              <w:rPr>
                <w:b/>
                <w:bCs/>
                <w:color w:val="1a1a18"/>
                <w:sz w:val="18"/>
                <w:szCs w:val="18"/>
              </w:rPr>
              <w:t xml:space="preserve">PHIDetectionAgent</w:t>
            </w:r>
          </w:p>
        </w:tc>
        <w:tc>
          <w:tcPr>
            <w:tcW w:type="dxa" w:w="1000"/>
          </w:tcPr>
          <w:p>
            <w:r>
              <w:rPr>
                <w:b w:val="false"/>
                <w:bCs w:val="false"/>
                <w:color w:val="1a1a18"/>
                <w:sz w:val="18"/>
                <w:szCs w:val="18"/>
              </w:rPr>
              <w:t xml:space="preserve">Primary path: Microsoft Presidio (AnalyzerEngine + spaCy) plus custom clinical recognizers (MRN, health plan ID, account/accession/claim number, fax number). Falls back automatically to a dependency-free regex detector if Presidio/spaCy are unavailable. Splits results into high-confidence and low-confidence spans using per-type thresholds.</w:t>
            </w:r>
          </w:p>
        </w:tc>
      </w:tr>
      <w:tr>
        <w:tc>
          <w:tcPr>
            <w:tcW w:type="dxa" w:w="1000"/>
          </w:tcPr>
          <w:p>
            <w:r>
              <w:rPr>
                <w:b/>
                <w:bCs/>
                <w:color w:val="1a1a18"/>
                <w:sz w:val="18"/>
                <w:szCs w:val="18"/>
              </w:rPr>
              <w:t xml:space="preserve">HumanReviewAgent</w:t>
            </w:r>
          </w:p>
        </w:tc>
        <w:tc>
          <w:tcPr>
            <w:tcW w:type="dxa" w:w="1000"/>
          </w:tcPr>
          <w:p>
            <w:r>
              <w:rPr>
                <w:b w:val="false"/>
                <w:bCs w:val="false"/>
                <w:color w:val="1a1a18"/>
                <w:sz w:val="18"/>
                <w:szCs w:val="18"/>
              </w:rPr>
              <w:t xml:space="preserve">A genuine LangGraph interrupt() node. Execution pauses for every low-confidence span, control returns to the caller (API / UI), and a human reviewer approves or rejects each span before the graph resumes.</w:t>
            </w:r>
          </w:p>
        </w:tc>
      </w:tr>
      <w:tr>
        <w:tc>
          <w:tcPr>
            <w:tcW w:type="dxa" w:w="1000"/>
          </w:tcPr>
          <w:p>
            <w:r>
              <w:rPr>
                <w:b/>
                <w:bCs/>
                <w:color w:val="1a1a18"/>
                <w:sz w:val="18"/>
                <w:szCs w:val="18"/>
              </w:rPr>
              <w:t xml:space="preserve">RedactionAgent</w:t>
            </w:r>
          </w:p>
        </w:tc>
        <w:tc>
          <w:tcPr>
            <w:tcW w:type="dxa" w:w="1000"/>
          </w:tcPr>
          <w:p>
            <w:r>
              <w:rPr>
                <w:b w:val="false"/>
                <w:bCs w:val="false"/>
                <w:color w:val="1a1a18"/>
                <w:sz w:val="18"/>
                <w:szCs w:val="18"/>
              </w:rPr>
              <w:t xml:space="preserve">Replaces every approved span (auto-approved high-confidence spans plus human-approved low-confidence spans) with a [TYPE] placeholder tag, preserving document structure and readability.</w:t>
            </w:r>
          </w:p>
        </w:tc>
      </w:tr>
      <w:tr>
        <w:tc>
          <w:tcPr>
            <w:tcW w:type="dxa" w:w="1000"/>
          </w:tcPr>
          <w:p>
            <w:r>
              <w:rPr>
                <w:b/>
                <w:bCs/>
                <w:color w:val="1a1a18"/>
                <w:sz w:val="18"/>
                <w:szCs w:val="18"/>
              </w:rPr>
              <w:t xml:space="preserve">ComplianceValidationAgent</w:t>
            </w:r>
          </w:p>
        </w:tc>
        <w:tc>
          <w:tcPr>
            <w:tcW w:type="dxa" w:w="1000"/>
          </w:tcPr>
          <w:p>
            <w:r>
              <w:rPr>
                <w:b w:val="false"/>
                <w:bCs w:val="false"/>
                <w:color w:val="1a1a18"/>
                <w:sz w:val="18"/>
                <w:szCs w:val="18"/>
              </w:rPr>
              <w:t xml:space="preserve">Independently re-scans the redacted text with the same detector. If any PHI-looking content remains, sets validation_status = FAIL and the graph loops back to PHIDetectionAgent (capped at 2 retries) rather than silently returning an incomplete redaction.</w:t>
            </w:r>
          </w:p>
        </w:tc>
      </w:tr>
      <w:tr>
        <w:tc>
          <w:tcPr>
            <w:tcW w:type="dxa" w:w="1000"/>
          </w:tcPr>
          <w:p>
            <w:r>
              <w:rPr>
                <w:b/>
                <w:bCs/>
                <w:color w:val="1a1a18"/>
                <w:sz w:val="18"/>
                <w:szCs w:val="18"/>
              </w:rPr>
              <w:t xml:space="preserve">AuditReportAgent</w:t>
            </w:r>
          </w:p>
        </w:tc>
        <w:tc>
          <w:tcPr>
            <w:tcW w:type="dxa" w:w="1000"/>
          </w:tcPr>
          <w:p>
            <w:r>
              <w:rPr>
                <w:b w:val="false"/>
                <w:bCs w:val="false"/>
                <w:color w:val="1a1a18"/>
                <w:sz w:val="18"/>
                <w:szCs w:val="18"/>
              </w:rPr>
              <w:t xml:space="preserve">Produces the final compliance report (validation status, retry count, span counts by type, manual-follow-up flag) and the full per-decision audit log.</w:t>
            </w:r>
          </w:p>
        </w:tc>
      </w:tr>
    </w:tbl>
    <w:p>
      <w:pPr>
        <w:spacing w:after="200"/>
      </w:pPr>
    </w:p>
    <w:p>
      <w:pPr>
        <w:spacing w:after="160"/>
      </w:pPr>
      <w:r>
        <w:t xml:space="preserve">Both confidence branches converge at RedactionAgent before validation runs: human review decides whether a low-confidence span is genuine PHI, and redaction is the step that actually masks it, so that approved-as-PHI spans are never left un-redacted going into validation.</w:t>
      </w:r>
    </w:p>
    <w:p>
      <w:pPr>
        <w:spacing w:after="160"/>
      </w:pPr>
      <w:r>
        <w:t xml:space="preserve">The graph is checkpointed — SQLite-backed by default (data/checkpoints.sqlite), with automatic fallback to an in-memory checkpointer if the optional package isn't installed — because HumanReviewAgent's interrupt()/resume flow depends on LangGraph being able to persist state across the pause. This means an in-flight human review session now survives a process restart, which an in-memory-only checkpointer cannot guarantee.</w:t>
      </w:r>
    </w:p>
    <w:p>
      <w:pPr>
        <w:pStyle w:val="Heading1"/>
        <w:spacing w:after="160" w:before="360"/>
      </w:pPr>
      <w:r>
        <w:t xml:space="preserve">3. Data &amp; Methodology</w:t>
      </w:r>
    </w:p>
    <w:p>
      <w:pPr>
        <w:pStyle w:val="Heading2"/>
        <w:spacing w:after="120" w:before="280"/>
      </w:pPr>
      <w:r>
        <w:t xml:space="preserve">3.1 Benchmark pivot</w:t>
      </w:r>
    </w:p>
    <w:p>
      <w:pPr>
        <w:spacing w:after="160"/>
      </w:pPr>
      <w:r>
        <w:t xml:space="preserve">The project was originally scoped against the n2c2 2014 de-identification shared-task dataset. At the time of this project, n2c2 2014 is listed as “Temporarily Unavailable” on the DBMI Data Portal — registration is closed, not merely gated behind a data use agreement. Rather than block the entire evaluation plan on that, the team built a reproducible alternative evaluation set instead.</w:t>
      </w:r>
    </w:p>
    <w:p>
      <w:pPr>
        <w:pStyle w:val="Heading2"/>
        <w:spacing w:after="120" w:before="280"/>
      </w:pPr>
      <w:r>
        <w:t xml:space="preserve">3.2 Dataset construction</w:t>
      </w:r>
    </w:p>
    <w:p>
      <w:pPr>
        <w:spacing w:after="160"/>
      </w:pPr>
      <w:r>
        <w:t xml:space="preserve">Two sources were combined:</w:t>
      </w:r>
    </w:p>
    <w:p>
      <w:pPr>
        <w:pStyle w:val="ListParagraph"/>
        <w:numPr>
          <w:ilvl w:val="0"/>
          <w:numId w:val="1"/>
        </w:numPr>
        <w:spacing w:after="80"/>
      </w:pPr>
      <w:r>
        <w:t xml:space="preserve">Kaggle “Medical Transcriptions” (tboyle10/medicaltranscriptions, CC0) for realistic document structure and clinical language across specialties.</w:t>
      </w:r>
    </w:p>
    <w:p>
      <w:pPr>
        <w:pStyle w:val="ListParagraph"/>
        <w:numPr>
          <w:ilvl w:val="0"/>
          <w:numId w:val="1"/>
        </w:numPr>
        <w:spacing w:after="80"/>
      </w:pPr>
      <w:r>
        <w:t xml:space="preserve">A synthetic PHI injector built on the Faker library, which prepends a labeled identifying-information header (name, DOB, MRN, phone, dates, provider names, account/claim/accession numbers, and more) to each document and records the exact character span of every value it inserts — producing an exact, reproducible ground truth that a real dataset without gold PHI annotations cannot provide.</w:t>
      </w:r>
    </w:p>
    <w:p>
      <w:pPr>
        <w:spacing w:after="160"/>
      </w:pPr>
      <w:r>
        <w:t xml:space="preserve">This produced 354 labeled documents across the 7 clinical document types (50 per type, 51 for three types that also carry one hand-written fixture each), totaling 2,150+ labeled PHI spans. pathology_report and lab_report have limited representation in the underlying mtsamples corpus, so the majority of those two categories draw on a small set of built-in fallback templates rather than borrowed real transcription text; every other document type has ample real source material.</w:t>
      </w:r>
    </w:p>
    <w:p>
      <w:pPr>
        <w:pStyle w:val="Heading2"/>
        <w:spacing w:after="120" w:before="280"/>
      </w:pPr>
      <w:r>
        <w:t xml:space="preserve">3.3 Evaluation methodology</w:t>
      </w:r>
    </w:p>
    <w:p>
      <w:pPr>
        <w:spacing w:after="160"/>
      </w:pPr>
      <w:r>
        <w:t xml:space="preserve">eval/evaluate.py scores PHIDetectionAgent against the labeled ground truth using two matching strategies, per standard i2b2/n2c2 practice:</w:t>
      </w:r>
    </w:p>
    <w:p>
      <w:pPr>
        <w:pStyle w:val="ListParagraph"/>
        <w:numPr>
          <w:ilvl w:val="0"/>
          <w:numId w:val="1"/>
        </w:numPr>
        <w:spacing w:after="80"/>
      </w:pPr>
      <w:r>
        <w:t xml:space="preserve">STRICT — requires an exact (start, end, phi_type) match.</w:t>
      </w:r>
    </w:p>
    <w:p>
      <w:pPr>
        <w:pStyle w:val="ListParagraph"/>
        <w:numPr>
          <w:ilvl w:val="0"/>
          <w:numId w:val="1"/>
        </w:numPr>
        <w:spacing w:after="80"/>
      </w:pPr>
      <w:r>
        <w:t xml:space="preserve">OVERLAP — counts any character overlap of the same type, matched greedily so a span cannot be double-counted. This exists because the injected ground truth spans cover just the value (e.g. MR-969634), while a detector may reasonably also flag the label (MRN: MR-969634) — a boundary convention difference, not a genuine miss.</w:t>
      </w:r>
    </w:p>
    <w:p>
      <w:pPr>
        <w:pStyle w:val="Heading1"/>
        <w:spacing w:after="160" w:before="360"/>
      </w:pPr>
      <w:r>
        <w:t xml:space="preserve">4. Production Hardening</w:t>
      </w:r>
    </w:p>
    <w:p>
      <w:pPr>
        <w:spacing w:after="160"/>
      </w:pPr>
      <w:r>
        <w:t xml:space="preserve">Given the project's scope, the team deliberately split work into features that were actually built and tested, versus gaps documented honestly as future work rather than silently left in the codebase. The following five hardening features were implemented as real, tested code:</w:t>
      </w:r>
    </w:p>
    <w:p>
      <w:pPr>
        <w:pStyle w:val="Heading2"/>
        <w:spacing w:after="120" w:before="280"/>
      </w:pPr>
      <w:r>
        <w:t xml:space="preserve">4.1 Per-entity-type confidence thresholds</w:t>
      </w:r>
    </w:p>
    <w:p>
      <w:pPr>
        <w:spacing w:after="160"/>
      </w:pPr>
      <w:r>
        <w:t xml:space="preserve">A single global confidence threshold treats every detector as equally trustworthy, which is not true in practice. Regex/pattern-backed types (MRN, HEALTH_PLAN_ID, ACCOUNT_NUMBER, ACCESSION_NUMBER, CLAIM_NUMBER, EMAIL_ADDRESS, SSN, IP_ADDRESS, URL, FAX_NUMBER) are near-deterministic once matched — measured at ~1.0 precision in the team's own eval runs — so they auto-redact at a lower bar (0.6). NER-driven types are noisier: PERSON measured only 0.58 overlap precision, and DATE_TIME carries real false-positive noise from dates in narrative body text, so both require a higher bar (0.85 and 0.8 respectively) before auto-redacting without a human in the loop.</w:t>
      </w:r>
    </w:p>
    <w:p>
      <w:pPr>
        <w:pStyle w:val="Heading2"/>
        <w:spacing w:after="120" w:before="280"/>
      </w:pPr>
      <w:r>
        <w:t xml:space="preserve">4.2 Closing a real recall gap</w:t>
      </w:r>
    </w:p>
    <w:p>
      <w:pPr>
        <w:spacing w:after="160"/>
      </w:pPr>
      <w:r>
        <w:t xml:space="preserve">ACCESSION_NUMBER, ACCOUNT_NUMBER, and CLAIM_NUMBER initially measured 0% recall on both backends — a genuine, confirmed bug, not a modeling limitation. The fallback regex required the label to be followed immediately by punctuation, so header lines like “Account Number: ACCT-123456” never matched at all; Presidio, meanwhile, has no built-in concept of a clinical accession number or insurance claim number, so no recognizer existed for them there either. Both were fixed: the regex was relaxed to make “Number/No./#” optional, and three new custom Presidio PatternRecognizers were registered. A FAX_NUMBER type was added alongside these for Safe Harbor completeness.</w:t>
      </w:r>
    </w:p>
    <w:p>
      <w:pPr>
        <w:pStyle w:val="Heading2"/>
        <w:spacing w:after="120" w:before="280"/>
      </w:pPr>
      <w:r>
        <w:t xml:space="preserve">4.3 Persistent checkpointer</w:t>
      </w:r>
    </w:p>
    <w:p>
      <w:pPr>
        <w:spacing w:after="160"/>
      </w:pPr>
      <w:r>
        <w:t xml:space="preserve">graph/workflow.py now defaults to a SQLite-backed LangGraph checkpointer instead of an in-memory MemorySaver, so a human-review session paused mid-workflow survives a server restart. It falls back to MemorySaver automatically if the optional langgraph-checkpoint-sqlite package is not installed, so the graph remains runnable in a bare-bones environment.</w:t>
      </w:r>
    </w:p>
    <w:p>
      <w:pPr>
        <w:pStyle w:val="Heading2"/>
        <w:spacing w:after="120" w:before="280"/>
      </w:pPr>
      <w:r>
        <w:t xml:space="preserve">4.4 API key authentication</w:t>
      </w:r>
    </w:p>
    <w:p>
      <w:pPr>
        <w:spacing w:after="160"/>
      </w:pPr>
      <w:r>
        <w:t xml:space="preserve">Every PHI-handling endpoint (/redact, /redact/upload, /redact/resume) now requires an X-API-Key header, checked in constant time via secrets.compare_digest to avoid timing side-channels. Previously the API was wide open — anyone who could reach the port could submit arbitrary documents and receive results.</w:t>
      </w:r>
    </w:p>
    <w:p>
      <w:pPr>
        <w:pStyle w:val="Heading2"/>
        <w:spacing w:after="120" w:before="280"/>
      </w:pPr>
      <w:r>
        <w:t xml:space="preserve">4.5 PHI-safe logging</w:t>
      </w:r>
    </w:p>
    <w:p>
      <w:pPr>
        <w:spacing w:after="160"/>
      </w:pPr>
      <w:r>
        <w:t xml:space="preserve">Unhandled exceptions previously returned detail=str(exc) directly to the caller, which could echo a fragment of the document being processed back through the HTTP response. Exceptions are now logged server-side only via logger.exception(), and the caller instead receives a generic error message plus a thread_id correlation ID for support follow-up. Request-level logging captures document type, span counts, and validation status — never raw or redacted document text.</w:t>
      </w:r>
    </w:p>
    <w:p>
      <w:pPr>
        <w:pStyle w:val="Heading1"/>
        <w:spacing w:after="160" w:before="360"/>
      </w:pPr>
      <w:r>
        <w:t xml:space="preserve">5. Evaluation Results</w:t>
      </w:r>
    </w:p>
    <w:p>
      <w:pPr>
        <w:spacing w:after="160"/>
      </w:pPr>
      <w:r>
        <w:t xml:space="preserve">All numbers below come from real executions of eval/evaluate.py against the full 354-document labeled set, run in the project owner's environment with the real Presidio + spaCy backend installed (not a hand-picked or simulated result).</w:t>
      </w:r>
    </w:p>
    <w:p>
      <w:pPr>
        <w:pStyle w:val="Heading2"/>
        <w:spacing w:after="120" w:before="280"/>
      </w:pPr>
      <w:r>
        <w:t xml:space="preserve">5.1 Fallback backend (dependency-free regex detector)</w:t>
      </w:r>
    </w:p>
    <w:p>
      <w:pPr>
        <w:spacing w:after="160"/>
      </w:pPr>
      <w:r>
        <w:t xml:space="preserve">Run with --backend fallback to validate the offline/dev code path independent of Presidio: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4100"/>
      </w:tblGrid>
      <w:tr>
        <w:trPr>
          <w:tblHeader/>
        </w:trPr>
        <w:tc>
          <w:tcPr>
            <w:tcW w:type="dxa" w:w="2800"/>
            <w:shd w:fill="1F4E79" w:val="clear"/>
          </w:tcPr>
          <w:p>
            <w:r>
              <w:rPr>
                <w:b/>
                <w:bCs/>
                <w:color w:val="FFFFFF"/>
                <w:sz w:val="19"/>
                <w:szCs w:val="19"/>
              </w:rPr>
              <w:t xml:space="preserve">PHI type</w:t>
            </w:r>
          </w:p>
        </w:tc>
        <w:tc>
          <w:tcPr>
            <w:tcW w:type="dxa" w:w="1500"/>
            <w:shd w:fill="1F4E79" w:val="clear"/>
          </w:tcPr>
          <w:p>
            <w:r>
              <w:rPr>
                <w:b/>
                <w:bCs/>
                <w:color w:val="FFFFFF"/>
                <w:sz w:val="19"/>
                <w:szCs w:val="19"/>
              </w:rPr>
              <w:t xml:space="preserve">Strict F1</w:t>
            </w:r>
          </w:p>
        </w:tc>
        <w:tc>
          <w:tcPr>
            <w:tcW w:type="dxa" w:w="1500"/>
            <w:shd w:fill="1F4E79" w:val="clear"/>
          </w:tcPr>
          <w:p>
            <w:r>
              <w:rPr>
                <w:b/>
                <w:bCs/>
                <w:color w:val="FFFFFF"/>
                <w:sz w:val="19"/>
                <w:szCs w:val="19"/>
              </w:rPr>
              <w:t xml:space="preserve">Overlap F1</w:t>
            </w:r>
          </w:p>
        </w:tc>
        <w:tc>
          <w:tcPr>
            <w:tcW w:type="dxa" w:w="4100"/>
            <w:shd w:fill="1F4E79" w:val="clear"/>
          </w:tcPr>
          <w:p>
            <w:r>
              <w:rPr>
                <w:b/>
                <w:bCs/>
                <w:color w:val="FFFFFF"/>
                <w:sz w:val="19"/>
                <w:szCs w:val="19"/>
              </w:rPr>
              <w:t xml:space="preserve">Note</w:t>
            </w:r>
          </w:p>
        </w:tc>
      </w:tr>
      <w:tr>
        <w:tc>
          <w:tcPr>
            <w:tcW w:type="dxa" w:w="2800"/>
          </w:tcPr>
          <w:p>
            <w:r>
              <w:rPr>
                <w:b w:val="false"/>
                <w:bCs w:val="false"/>
                <w:color w:val="1a1a18"/>
                <w:sz w:val="18"/>
                <w:szCs w:val="18"/>
              </w:rPr>
              <w:t xml:space="preserve">DATE_TIME</w:t>
            </w:r>
          </w:p>
        </w:tc>
        <w:tc>
          <w:tcPr>
            <w:tcW w:type="dxa" w:w="1500"/>
          </w:tcPr>
          <w:p>
            <w:r>
              <w:rPr>
                <w:b w:val="false"/>
                <w:bCs w:val="false"/>
                <w:color w:val="1a1a18"/>
                <w:sz w:val="18"/>
                <w:szCs w:val="18"/>
              </w:rPr>
              <w:t xml:space="preserve">0.86</w:t>
            </w:r>
          </w:p>
        </w:tc>
        <w:tc>
          <w:tcPr>
            <w:tcW w:type="dxa" w:w="1500"/>
          </w:tcPr>
          <w:p>
            <w:r>
              <w:rPr>
                <w:b w:val="false"/>
                <w:bCs w:val="false"/>
                <w:color w:val="1a1a18"/>
                <w:sz w:val="18"/>
                <w:szCs w:val="18"/>
              </w:rPr>
              <w:t xml:space="preserve">0.86</w:t>
            </w:r>
          </w:p>
        </w:tc>
        <w:tc>
          <w:tcPr>
            <w:tcW w:type="dxa" w:w="4100"/>
          </w:tcPr>
          <w:p>
            <w:r>
              <w:rPr>
                <w:b w:val="false"/>
                <w:bCs w:val="false"/>
                <w:color w:val="1a1a18"/>
                <w:sz w:val="18"/>
                <w:szCs w:val="18"/>
              </w:rPr>
              <w:t xml:space="preserve">Solid on both — no label-boundary issue for dates</w:t>
            </w:r>
          </w:p>
        </w:tc>
      </w:tr>
      <w:tr>
        <w:tc>
          <w:tcPr>
            <w:tcW w:type="dxa" w:w="2800"/>
            <w:shd w:fill="F2F2F2" w:val="clear"/>
          </w:tcPr>
          <w:p>
            <w:r>
              <w:rPr>
                <w:b w:val="false"/>
                <w:bCs w:val="false"/>
                <w:color w:val="1a1a18"/>
                <w:sz w:val="18"/>
                <w:szCs w:val="18"/>
              </w:rPr>
              <w:t xml:space="preserve">HEALTH_PLAN_ID / MRN</w:t>
            </w:r>
          </w:p>
        </w:tc>
        <w:tc>
          <w:tcPr>
            <w:tcW w:type="dxa" w:w="1500"/>
            <w:shd w:fill="F2F2F2" w:val="clear"/>
          </w:tcPr>
          <w:p>
            <w:r>
              <w:rPr>
                <w:b w:val="false"/>
                <w:bCs w:val="false"/>
                <w:color w:val="1a1a18"/>
                <w:sz w:val="18"/>
                <w:szCs w:val="18"/>
              </w:rPr>
              <w:t xml:space="preserve">0.00</w:t>
            </w:r>
          </w:p>
        </w:tc>
        <w:tc>
          <w:tcPr>
            <w:tcW w:type="dxa" w:w="1500"/>
            <w:shd w:fill="F2F2F2" w:val="clear"/>
          </w:tcPr>
          <w:p>
            <w:r>
              <w:rPr>
                <w:b w:val="false"/>
                <w:bCs w:val="false"/>
                <w:color w:val="1a1a18"/>
                <w:sz w:val="18"/>
                <w:szCs w:val="18"/>
              </w:rPr>
              <w:t xml:space="preserve">1.00</w:t>
            </w:r>
          </w:p>
        </w:tc>
        <w:tc>
          <w:tcPr>
            <w:tcW w:type="dxa" w:w="4100"/>
            <w:shd w:fill="F2F2F2" w:val="clear"/>
          </w:tcPr>
          <w:p>
            <w:r>
              <w:rPr>
                <w:b w:val="false"/>
                <w:bCs w:val="false"/>
                <w:color w:val="1a1a18"/>
                <w:sz w:val="18"/>
                <w:szCs w:val="18"/>
              </w:rPr>
              <w:t xml:space="preserve">Detector includes the label in the span — pure boundary convention difference</w:t>
            </w:r>
          </w:p>
        </w:tc>
      </w:tr>
      <w:tr>
        <w:tc>
          <w:tcPr>
            <w:tcW w:type="dxa" w:w="2800"/>
          </w:tcPr>
          <w:p>
            <w:r>
              <w:rPr>
                <w:b w:val="false"/>
                <w:bCs w:val="false"/>
                <w:color w:val="1a1a18"/>
                <w:sz w:val="18"/>
                <w:szCs w:val="18"/>
              </w:rPr>
              <w:t xml:space="preserve">ACCESSION / ACCOUNT / CLAIM #</w:t>
            </w:r>
          </w:p>
        </w:tc>
        <w:tc>
          <w:tcPr>
            <w:tcW w:type="dxa" w:w="1500"/>
          </w:tcPr>
          <w:p>
            <w:r>
              <w:rPr>
                <w:b w:val="false"/>
                <w:bCs w:val="false"/>
                <w:color w:val="1a1a18"/>
                <w:sz w:val="18"/>
                <w:szCs w:val="18"/>
              </w:rPr>
              <w:t xml:space="preserve">0.00</w:t>
            </w:r>
          </w:p>
        </w:tc>
        <w:tc>
          <w:tcPr>
            <w:tcW w:type="dxa" w:w="1500"/>
          </w:tcPr>
          <w:p>
            <w:r>
              <w:rPr>
                <w:b w:val="false"/>
                <w:bCs w:val="false"/>
                <w:color w:val="1a1a18"/>
                <w:sz w:val="18"/>
                <w:szCs w:val="18"/>
              </w:rPr>
              <w:t xml:space="preserve">1.00</w:t>
            </w:r>
          </w:p>
        </w:tc>
        <w:tc>
          <w:tcPr>
            <w:tcW w:type="dxa" w:w="4100"/>
          </w:tcPr>
          <w:p>
            <w:r>
              <w:rPr>
                <w:b w:val="false"/>
                <w:bCs w:val="false"/>
                <w:color w:val="1a1a18"/>
                <w:sz w:val="18"/>
                <w:szCs w:val="18"/>
              </w:rPr>
              <w:t xml:space="preserve">Fixed from 0.00/0.00 by the label-optional regex fix (Section 4.2)</w:t>
            </w:r>
          </w:p>
        </w:tc>
      </w:tr>
      <w:tr>
        <w:tc>
          <w:tcPr>
            <w:tcW w:type="dxa" w:w="2800"/>
            <w:shd w:fill="F2F2F2" w:val="clear"/>
          </w:tcPr>
          <w:p>
            <w:r>
              <w:rPr>
                <w:b w:val="false"/>
                <w:bCs w:val="false"/>
                <w:color w:val="1a1a18"/>
                <w:sz w:val="18"/>
                <w:szCs w:val="18"/>
              </w:rPr>
              <w:t xml:space="preserve">PHONE_NUMBER</w:t>
            </w:r>
          </w:p>
        </w:tc>
        <w:tc>
          <w:tcPr>
            <w:tcW w:type="dxa" w:w="1500"/>
            <w:shd w:fill="F2F2F2" w:val="clear"/>
          </w:tcPr>
          <w:p>
            <w:r>
              <w:rPr>
                <w:b w:val="false"/>
                <w:bCs w:val="false"/>
                <w:color w:val="1a1a18"/>
                <w:sz w:val="18"/>
                <w:szCs w:val="18"/>
              </w:rPr>
              <w:t xml:space="preserve">0.52</w:t>
            </w:r>
          </w:p>
        </w:tc>
        <w:tc>
          <w:tcPr>
            <w:tcW w:type="dxa" w:w="1500"/>
            <w:shd w:fill="F2F2F2" w:val="clear"/>
          </w:tcPr>
          <w:p>
            <w:r>
              <w:rPr>
                <w:b w:val="false"/>
                <w:bCs w:val="false"/>
                <w:color w:val="1a1a18"/>
                <w:sz w:val="18"/>
                <w:szCs w:val="18"/>
              </w:rPr>
              <w:t xml:space="preserve">0.56</w:t>
            </w:r>
          </w:p>
        </w:tc>
        <w:tc>
          <w:tcPr>
            <w:tcW w:type="dxa" w:w="4100"/>
            <w:shd w:fill="F2F2F2" w:val="clear"/>
          </w:tcPr>
          <w:p>
            <w:r>
              <w:rPr>
                <w:b w:val="false"/>
                <w:bCs w:val="false"/>
                <w:color w:val="1a1a18"/>
                <w:sz w:val="18"/>
                <w:szCs w:val="18"/>
              </w:rPr>
              <w:t xml:space="preserve">Faker occasionally generates formats (e.g. extensions) the fallback regex misses</w:t>
            </w:r>
          </w:p>
        </w:tc>
      </w:tr>
      <w:tr>
        <w:tc>
          <w:tcPr>
            <w:tcW w:type="dxa" w:w="2800"/>
          </w:tcPr>
          <w:p>
            <w:r>
              <w:rPr>
                <w:b w:val="false"/>
                <w:bCs w:val="false"/>
                <w:color w:val="1a1a18"/>
                <w:sz w:val="18"/>
                <w:szCs w:val="18"/>
              </w:rPr>
              <w:t xml:space="preserve">PERSON</w:t>
            </w:r>
          </w:p>
        </w:tc>
        <w:tc>
          <w:tcPr>
            <w:tcW w:type="dxa" w:w="1500"/>
          </w:tcPr>
          <w:p>
            <w:r>
              <w:rPr>
                <w:b w:val="false"/>
                <w:bCs w:val="false"/>
                <w:color w:val="1a1a18"/>
                <w:sz w:val="18"/>
                <w:szCs w:val="18"/>
              </w:rPr>
              <w:t xml:space="preserve">0.01</w:t>
            </w:r>
          </w:p>
        </w:tc>
        <w:tc>
          <w:tcPr>
            <w:tcW w:type="dxa" w:w="1500"/>
          </w:tcPr>
          <w:p>
            <w:r>
              <w:rPr>
                <w:b w:val="false"/>
                <w:bCs w:val="false"/>
                <w:color w:val="1a1a18"/>
                <w:sz w:val="18"/>
                <w:szCs w:val="18"/>
              </w:rPr>
              <w:t xml:space="preserve">0.02</w:t>
            </w:r>
          </w:p>
        </w:tc>
        <w:tc>
          <w:tcPr>
            <w:tcW w:type="dxa" w:w="4100"/>
          </w:tcPr>
          <w:p>
            <w:r>
              <w:rPr>
                <w:b w:val="false"/>
                <w:bCs w:val="false"/>
                <w:color w:val="1a1a18"/>
                <w:sz w:val="18"/>
                <w:szCs w:val="18"/>
              </w:rPr>
              <w:t xml:space="preserve">Expected, not a bug — fallback PERSON pattern requires a title (Mr./Dr./Pt.); injected names have none</w:t>
            </w:r>
          </w:p>
        </w:tc>
      </w:tr>
    </w:tbl>
    <w:p>
      <w:pPr>
        <w:spacing w:after="160"/>
      </w:pPr>
    </w:p>
    <w:p>
      <w:pPr>
        <w:spacing w:after="160"/>
      </w:pPr>
      <w:r>
        <w:t xml:space="preserve">Overlap OVERALL on the fallback backend improved from F1 0.6329 to 0.6960 (recall 0.5377 → 0.6074) after the label-optional regex fix — a real, measured improvement of 1,306 TP / 297 FP / 844 FN overall.</w:t>
      </w:r>
    </w:p>
    <w:p>
      <w:pPr>
        <w:pStyle w:val="Heading2"/>
        <w:spacing w:after="120" w:before="280"/>
      </w:pPr>
      <w:r>
        <w:t xml:space="preserve">5.2 Presidio backend (production path)</w:t>
      </w:r>
    </w:p>
    <w:p>
      <w:pPr>
        <w:spacing w:after="160"/>
      </w:pPr>
      <w:r>
        <w:t xml:space="preserve">Run with --backend presidio, all 350+ generated documents, OVERLAP mode: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00"/>
        <w:gridCol w:w="1900"/>
      </w:tblGrid>
      <w:tr>
        <w:trPr>
          <w:tblHeader/>
        </w:trPr>
        <w:tc>
          <w:tcPr>
            <w:tcW w:type="dxa" w:w="3800"/>
            <w:shd w:fill="1F4E79" w:val="clear"/>
          </w:tcPr>
          <w:p>
            <w:r>
              <w:rPr>
                <w:b/>
                <w:bCs/>
                <w:color w:val="FFFFFF"/>
                <w:sz w:val="19"/>
                <w:szCs w:val="19"/>
              </w:rPr>
              <w:t xml:space="preserve">Milestone</w:t>
            </w:r>
          </w:p>
        </w:tc>
        <w:tc>
          <w:tcPr>
            <w:tcW w:type="dxa" w:w="2000"/>
            <w:shd w:fill="1F4E79" w:val="clear"/>
          </w:tcPr>
          <w:p>
            <w:r>
              <w:rPr>
                <w:b/>
                <w:bCs/>
                <w:color w:val="FFFFFF"/>
                <w:sz w:val="19"/>
                <w:szCs w:val="19"/>
              </w:rPr>
              <w:t xml:space="preserve">Overall F1</w:t>
            </w:r>
          </w:p>
        </w:tc>
        <w:tc>
          <w:tcPr>
            <w:tcW w:type="dxa" w:w="1700"/>
            <w:shd w:fill="1F4E79" w:val="clear"/>
          </w:tcPr>
          <w:p>
            <w:r>
              <w:rPr>
                <w:b/>
                <w:bCs/>
                <w:color w:val="FFFFFF"/>
                <w:sz w:val="19"/>
                <w:szCs w:val="19"/>
              </w:rPr>
              <w:t xml:space="preserve">Recall</w:t>
            </w:r>
          </w:p>
        </w:tc>
        <w:tc>
          <w:tcPr>
            <w:tcW w:type="dxa" w:w="1900"/>
            <w:shd w:fill="1F4E79" w:val="clear"/>
          </w:tcPr>
          <w:p>
            <w:r>
              <w:rPr>
                <w:b/>
                <w:bCs/>
                <w:color w:val="FFFFFF"/>
                <w:sz w:val="19"/>
                <w:szCs w:val="19"/>
              </w:rPr>
              <w:t xml:space="preserve">False Negatives</w:t>
            </w:r>
          </w:p>
        </w:tc>
      </w:tr>
      <w:tr>
        <w:tc>
          <w:tcPr>
            <w:tcW w:type="dxa" w:w="3800"/>
          </w:tcPr>
          <w:p>
            <w:r>
              <w:rPr>
                <w:b w:val="false"/>
                <w:bCs w:val="false"/>
                <w:color w:val="1a1a18"/>
                <w:sz w:val="18"/>
                <w:szCs w:val="18"/>
              </w:rPr>
              <w:t xml:space="preserve">Before recognizer additions</w:t>
            </w:r>
          </w:p>
        </w:tc>
        <w:tc>
          <w:tcPr>
            <w:tcW w:type="dxa" w:w="2000"/>
          </w:tcPr>
          <w:p>
            <w:r>
              <w:rPr>
                <w:b w:val="false"/>
                <w:bCs w:val="false"/>
                <w:color w:val="1a1a18"/>
                <w:sz w:val="18"/>
                <w:szCs w:val="18"/>
              </w:rPr>
              <w:t xml:space="preserve">0.6023</w:t>
            </w:r>
          </w:p>
        </w:tc>
        <w:tc>
          <w:tcPr>
            <w:tcW w:type="dxa" w:w="1700"/>
          </w:tcPr>
          <w:p>
            <w:r>
              <w:rPr>
                <w:b w:val="false"/>
                <w:bCs w:val="false"/>
                <w:color w:val="1a1a18"/>
                <w:sz w:val="18"/>
                <w:szCs w:val="18"/>
              </w:rPr>
              <w:t xml:space="preserve">0.9023</w:t>
            </w:r>
          </w:p>
        </w:tc>
        <w:tc>
          <w:tcPr>
            <w:tcW w:type="dxa" w:w="1900"/>
          </w:tcPr>
          <w:p>
            <w:r>
              <w:rPr>
                <w:b w:val="false"/>
                <w:bCs w:val="false"/>
                <w:color w:val="1a1a18"/>
                <w:sz w:val="18"/>
                <w:szCs w:val="18"/>
              </w:rPr>
              <w:t xml:space="preserve">210</w:t>
            </w:r>
          </w:p>
        </w:tc>
      </w:tr>
      <w:tr>
        <w:tc>
          <w:tcPr>
            <w:tcW w:type="dxa" w:w="3800"/>
            <w:shd w:fill="F2F2F2" w:val="clear"/>
          </w:tcPr>
          <w:p>
            <w:r>
              <w:rPr>
                <w:b w:val="false"/>
                <w:bCs w:val="false"/>
                <w:color w:val="1a1a18"/>
                <w:sz w:val="18"/>
                <w:szCs w:val="18"/>
              </w:rPr>
              <w:t xml:space="preserve">After ACCESSION/ACCOUNT/CLAIM recognizers</w:t>
            </w:r>
          </w:p>
        </w:tc>
        <w:tc>
          <w:tcPr>
            <w:tcW w:type="dxa" w:w="2000"/>
            <w:shd w:fill="F2F2F2" w:val="clear"/>
          </w:tcPr>
          <w:p>
            <w:r>
              <w:rPr>
                <w:b w:val="false"/>
                <w:bCs w:val="false"/>
                <w:color w:val="1a1a18"/>
                <w:sz w:val="18"/>
                <w:szCs w:val="18"/>
              </w:rPr>
              <w:t xml:space="preserve">0.6440</w:t>
            </w:r>
          </w:p>
        </w:tc>
        <w:tc>
          <w:tcPr>
            <w:tcW w:type="dxa" w:w="1700"/>
            <w:shd w:fill="F2F2F2" w:val="clear"/>
          </w:tcPr>
          <w:p>
            <w:r>
              <w:rPr>
                <w:b w:val="false"/>
                <w:bCs w:val="false"/>
                <w:color w:val="1a1a18"/>
                <w:sz w:val="18"/>
                <w:szCs w:val="18"/>
              </w:rPr>
              <w:t xml:space="preserve">0.9651</w:t>
            </w:r>
          </w:p>
        </w:tc>
        <w:tc>
          <w:tcPr>
            <w:tcW w:type="dxa" w:w="1900"/>
            <w:shd w:fill="F2F2F2" w:val="clear"/>
          </w:tcPr>
          <w:p>
            <w:r>
              <w:rPr>
                <w:b w:val="false"/>
                <w:bCs w:val="false"/>
                <w:color w:val="1a1a18"/>
                <w:sz w:val="18"/>
                <w:szCs w:val="18"/>
              </w:rPr>
              <w:t xml:space="preserve">75</w:t>
            </w:r>
          </w:p>
        </w:tc>
      </w:tr>
      <w:tr>
        <w:tc>
          <w:tcPr>
            <w:tcW w:type="dxa" w:w="3800"/>
          </w:tcPr>
          <w:p>
            <w:r>
              <w:rPr>
                <w:b w:val="false"/>
                <w:bCs w:val="false"/>
                <w:color w:val="1a1a18"/>
                <w:sz w:val="18"/>
                <w:szCs w:val="18"/>
              </w:rPr>
              <w:t xml:space="preserve">After the _dedupe_overlaps bug fix (Section 6.1)</w:t>
            </w:r>
          </w:p>
        </w:tc>
        <w:tc>
          <w:tcPr>
            <w:tcW w:type="dxa" w:w="2000"/>
          </w:tcPr>
          <w:p>
            <w:r>
              <w:rPr>
                <w:b w:val="false"/>
                <w:bCs w:val="false"/>
                <w:color w:val="1a1a18"/>
                <w:sz w:val="18"/>
                <w:szCs w:val="18"/>
              </w:rPr>
              <w:t xml:space="preserve">0.6433</w:t>
            </w:r>
          </w:p>
        </w:tc>
        <w:tc>
          <w:tcPr>
            <w:tcW w:type="dxa" w:w="1700"/>
          </w:tcPr>
          <w:p>
            <w:r>
              <w:rPr>
                <w:b w:val="false"/>
                <w:bCs w:val="false"/>
                <w:color w:val="1a1a18"/>
                <w:sz w:val="18"/>
                <w:szCs w:val="18"/>
              </w:rPr>
              <w:t xml:space="preserve">0.9619</w:t>
            </w:r>
          </w:p>
        </w:tc>
        <w:tc>
          <w:tcPr>
            <w:tcW w:type="dxa" w:w="1900"/>
          </w:tcPr>
          <w:p>
            <w:r>
              <w:rPr>
                <w:b w:val="false"/>
                <w:bCs w:val="false"/>
                <w:color w:val="1a1a18"/>
                <w:sz w:val="18"/>
                <w:szCs w:val="18"/>
              </w:rPr>
              <w:t xml:space="preserve">82</w:t>
            </w:r>
          </w:p>
        </w:tc>
      </w:tr>
      <w:tr>
        <w:tc>
          <w:tcPr>
            <w:tcW w:type="dxa" w:w="3800"/>
            <w:shd w:fill="F2F2F2" w:val="clear"/>
          </w:tcPr>
          <w:p>
            <w:r>
              <w:rPr>
                <w:b w:val="false"/>
                <w:bCs w:val="false"/>
                <w:color w:val="1a1a18"/>
                <w:sz w:val="18"/>
                <w:szCs w:val="18"/>
              </w:rPr>
              <w:t xml:space="preserve">After the phone-extension fix (Section 6.2)</w:t>
            </w:r>
          </w:p>
        </w:tc>
        <w:tc>
          <w:tcPr>
            <w:tcW w:type="dxa" w:w="2000"/>
            <w:shd w:fill="F2F2F2" w:val="clear"/>
          </w:tcPr>
          <w:p>
            <w:r>
              <w:rPr>
                <w:b w:val="false"/>
                <w:bCs w:val="false"/>
                <w:color w:val="1a1a18"/>
                <w:sz w:val="18"/>
                <w:szCs w:val="18"/>
              </w:rPr>
              <w:t xml:space="preserve">0.6602</w:t>
            </w:r>
          </w:p>
        </w:tc>
        <w:tc>
          <w:tcPr>
            <w:tcW w:type="dxa" w:w="1700"/>
            <w:shd w:fill="F2F2F2" w:val="clear"/>
          </w:tcPr>
          <w:p>
            <w:r>
              <w:rPr>
                <w:b w:val="false"/>
                <w:bCs w:val="false"/>
                <w:color w:val="1a1a18"/>
                <w:sz w:val="18"/>
                <w:szCs w:val="18"/>
              </w:rPr>
              <w:t xml:space="preserve">0.9963</w:t>
            </w:r>
          </w:p>
        </w:tc>
        <w:tc>
          <w:tcPr>
            <w:tcW w:type="dxa" w:w="1900"/>
            <w:shd w:fill="F2F2F2" w:val="clear"/>
          </w:tcPr>
          <w:p>
            <w:r>
              <w:rPr>
                <w:b w:val="false"/>
                <w:bCs w:val="false"/>
                <w:color w:val="1a1a18"/>
                <w:sz w:val="18"/>
                <w:szCs w:val="18"/>
              </w:rPr>
              <w:t xml:space="preserve">8</w:t>
            </w:r>
          </w:p>
        </w:tc>
      </w:tr>
    </w:tbl>
    <w:p>
      <w:pPr>
        <w:spacing w:after="160"/>
      </w:pPr>
    </w:p>
    <w:p>
      <w:pPr>
        <w:spacing w:after="160"/>
      </w:pPr>
      <w:r>
        <w:t xml:space="preserve">At the final confirmed run: HEALTH_PLAN_ID, MRN, ACCOUNT_NUMBER, and CLAIM_NUMBER all measure at or near 100% precision and recall. PHONE_NUMBER measures 0.9960 precision / 0.9960 recall (249 TP / 1 FP / 1 FN). PERSON recall reaches 0.99 under Presidio versus 0.01 on the fallback, which is the core justification for Presidio as the production backend rather than the regex fallback.</w:t>
      </w:r>
    </w:p>
    <w:p>
      <w:pPr>
        <w:spacing w:after="160"/>
      </w:pPr>
      <w:r>
        <w:t xml:space="preserve">The overall precision figure (0.4937) understates true performance: Presidio's built-in recognizers (LOCATION, NRP, US_DRIVER_LICENSE, and similar) correctly flag real entities present in the borrowed mtsamples narrative body text that the synthetic ground truth was never told to label, since the ground truth only covers the fields the team deliberately injected. These register as false positives in the evaluation harness without necessarily being incorrect detections — a measurement limitation of the eval methodology, documented honestly in Section 8 rather than hidden.</w:t>
      </w:r>
    </w:p>
    <w:p>
      <w:pPr>
        <w:pStyle w:val="Heading1"/>
        <w:spacing w:after="160" w:before="360"/>
      </w:pPr>
      <w:r>
        <w:t xml:space="preserve">6. Real Bugs Found &amp; Fixed</w:t>
      </w:r>
    </w:p>
    <w:p>
      <w:pPr>
        <w:spacing w:after="160"/>
      </w:pPr>
      <w:r>
        <w:t xml:space="preserve">This section documents four genuine, confirmed bugs found through real debugging and real live testing over the course of development — each with root cause, fix, and the concrete evidence used to verify the fix, rather than a claim taken on faith.</w:t>
      </w:r>
    </w:p>
    <w:p>
      <w:pPr>
        <w:pStyle w:val="Heading2"/>
        <w:spacing w:after="120" w:before="280"/>
      </w:pPr>
      <w:r>
        <w:t xml:space="preserve">6.1 Overlap-resolution bug (ACCESSION_NUMBER recall gap)</w:t>
      </w:r>
    </w:p>
    <w:p>
      <w:pPr>
        <w:spacing w:after="160"/>
      </w:pPr>
      <w:r>
        <w:t xml:space="preserve">ACCESSION_NUMBER measured 70% recall (35/50) under Presidio despite 100% precision, even though the identical regex pattern hit 100% under the fallback backend — an inconsistency worth investigating rather than dismissing. A throwaway diagnostic script called Presidio's raw analyzer.analyze() directly and compared its output against ground truth: Presidio's own detections were correct for all 50 documents. The bug was in the pipeline's own post-processing: _dedupe_overlaps() sorted overlapping candidate spans by (start position, then confidence), which processes spans in position order and greedily keeps the first non-overlapping one — meaning an earlier-starting, lower-confidence span could permanently block a later-starting, much higher-confidence span from ever being kept, regardless of quality. Fixed by sorting on confidence descending instead, so the highest-confidence candidate always claims its slot first (standard weighted-interval-scheduling-by-score). Re-running the eval confirmed ACCESSION_NUMBER at 50/50, 100% precision and recall.</w:t>
      </w:r>
    </w:p>
    <w:p>
      <w:pPr>
        <w:pStyle w:val="Heading2"/>
        <w:spacing w:after="120" w:before="280"/>
      </w:pPr>
      <w:r>
        <w:t xml:space="preserve">6.2 Phone number extension leak</w:t>
      </w:r>
    </w:p>
    <w:p>
      <w:pPr>
        <w:spacing w:after="160"/>
      </w:pPr>
      <w:r>
        <w:t xml:space="preserve">Discovered live in the Streamlit UI using a real uploaded .docx file: the phone number “+1-834-576-8701x462” passed through completely unredacted. Root cause: both the fallback regex and Presidio's built-in phone recognizer ended in a \b word-boundary assertion, which requires a transition between a word character and a non-word character — but a digit directly followed by a letter (“1x”) has no such boundary, so the entire match attempt failed rather than simply stopping short of the extension. Fixed with a shared _PHONE_EXTENSION regex suffix applied to both the fallback PHONE_NUMBER/FAX_NUMBER patterns and a new supplementary Presidio recognizer. Confirmed fixed both live (renders as [PHONE_NUMBER]) and via eval (PHONE_NUMBER precision/recall improved to 0.996/0.996).</w:t>
      </w:r>
    </w:p>
    <w:p>
      <w:pPr>
        <w:pStyle w:val="Heading2"/>
        <w:spacing w:after="120" w:before="280"/>
      </w:pPr>
      <w:r>
        <w:t xml:space="preserve">6.3 Named-entity span crossing a line break</w:t>
      </w:r>
    </w:p>
    <w:p>
      <w:pPr>
        <w:spacing w:after="160"/>
      </w:pPr>
      <w:r>
        <w:t xml:space="preserve">Also discovered live on the same document: a Presidio PERSON match extended across a CRLF line break in a structured header (“Patient Name: James Simmons MD\r\nDOB:”), swallowing the next line's “DOB:” label and the newline itself, so the redacted output visually merged two header lines into one and silently deleted a field label. Not a PHI leak in that specific instance, but a real correctness bug. Fixed with a defensive _clip_at_newlines() function that truncates any detected span containing \r or \n to end right before the line break, on the reasoning that no legitimate single PHI value in these structured documents should ever span two lines. Confirmed fixed live — header fields now render as clean, separate lines.</w:t>
      </w:r>
    </w:p>
    <w:p>
      <w:pPr>
        <w:pStyle w:val="Heading2"/>
        <w:spacing w:after="120" w:before="280"/>
      </w:pPr>
      <w:r>
        <w:t xml:space="preserve">6.4 Human review decisions not persisting across the retry loop</w:t>
      </w:r>
    </w:p>
    <w:p>
      <w:pPr>
        <w:spacing w:after="160"/>
      </w:pPr>
      <w:r>
        <w:t xml:space="preserve">The most significant workflow bug found: ComplianceValidationAgent re-scans the redacted text on every retry pass using the same detector. Since a human-rejected span is correctly left un-redacted, its text remained sitting in the document to be re-detected on the very next pass — which registered as a validation FAIL and looped the graph back to human review asking the identical question again. In practice, a reviewer's “reject, this is not PHI” decision could never actually stick: it either wore the reviewer down into eventually clicking Approve, or burned through the retry cap and returned FAIL. This defeats the purpose of human review as an authoritative determination. Fixed by adding a rejected_spans field to GraphState, accumulated across retries by human_review_agent, and consulted by both phi_detection_agent (so a rejected span is never re-flagged for review in the first place) and compliance_validation_agent (defense-in-depth, since it re-scans independently). Confirmed fixed live via the audit log: rejecting a span now reaches validation_status = PASS on the very first pass (retry_count = 0), with no repeated review round.</w:t>
      </w:r>
    </w:p>
    <w:p>
      <w:pPr>
        <w:pStyle w:val="Heading1"/>
        <w:spacing w:after="160" w:before="360"/>
      </w:pPr>
      <w:r>
        <w:t xml:space="preserve">7. User Interface</w:t>
      </w:r>
    </w:p>
    <w:p>
      <w:pPr>
        <w:spacing w:after="160"/>
      </w:pPr>
      <w:r>
        <w:t xml:space="preserve">app/streamlit_app.py is a thin HTTP client of the FastAPI backend — it communicates over REST using the requests library exactly as an external caller would, rather than importing the graph or agents directly. This is a deliberate architectural choice: the API is the single enforcement point for authentication, logging, and error handling, and a real deployment may have other clients (a mobile app, a batch job, another team's service) hitting the same endpoints. The UI walks a user through: pasting text or uploading a .txt/.pdf/.docx file; a human-review approve/reject form for any low-confidence spans PHIDetectionAgent flagged; and, once complete, the redacted text, the compliance report, and the full audit log, each in its own tab.</w:t>
      </w:r>
    </w:p>
    <w:p>
      <w:pPr>
        <w:spacing w:after="160"/>
      </w:pPr>
      <w:r>
        <w:t xml:space="preserve">This architecture was exercised end-to-end multiple times using real uploaded files, including the full human-review pause/resume cycle and the retry loop, which is how the bugs in Section 6 were found and confirmed fixed.</w:t>
      </w:r>
    </w:p>
    <w:p>
      <w:pPr>
        <w:pStyle w:val="Heading1"/>
        <w:spacing w:after="160" w:before="360"/>
      </w:pPr>
      <w:r>
        <w:t xml:space="preserve">8. Limitations &amp; Future Work</w:t>
      </w:r>
    </w:p>
    <w:p>
      <w:pPr>
        <w:spacing w:after="160"/>
      </w:pPr>
      <w:r>
        <w:t xml:space="preserve">The following gaps are documented honestly as real, scoped-out work rather than silently omitted:</w:t>
      </w:r>
    </w:p>
    <w:p>
      <w:pPr>
        <w:pStyle w:val="ListParagraph"/>
        <w:numPr>
          <w:ilvl w:val="0"/>
          <w:numId w:val="1"/>
        </w:numPr>
        <w:spacing w:after="80"/>
      </w:pPr>
      <w:r>
        <w:t xml:space="preserve">Clinical-domain NER fine-tuning — Presidio's default spaCy model is general-purpose; a scispaCy model or a fine-tuned clinical NER model would likely improve PERSON/LOCATION accuracy on real clinical text.</w:t>
      </w:r>
    </w:p>
    <w:p>
      <w:pPr>
        <w:pStyle w:val="ListParagraph"/>
        <w:numPr>
          <w:ilvl w:val="0"/>
          <w:numId w:val="1"/>
        </w:numPr>
        <w:spacing w:after="80"/>
      </w:pPr>
      <w:r>
        <w:t xml:space="preserve">Confidence calibration — the per-type thresholds are hand-picked from one eval run's precision numbers, not statistically calibrated (e.g. Platt scaling).</w:t>
      </w:r>
    </w:p>
    <w:p>
      <w:pPr>
        <w:pStyle w:val="ListParagraph"/>
        <w:numPr>
          <w:ilvl w:val="0"/>
          <w:numId w:val="1"/>
        </w:numPr>
        <w:spacing w:after="80"/>
      </w:pPr>
      <w:r>
        <w:t xml:space="preserve">Eval precision is understated by entity types outside the labeled taxonomy — Presidio detects LOCATION, NRP, and similar types the synthetic ground truth never labels, inflating measured false positives without those detections necessarily being wrong.</w:t>
      </w:r>
    </w:p>
    <w:p>
      <w:pPr>
        <w:pStyle w:val="ListParagraph"/>
        <w:numPr>
          <w:ilvl w:val="0"/>
          <w:numId w:val="1"/>
        </w:numPr>
        <w:spacing w:after="80"/>
      </w:pPr>
      <w:r>
        <w:t xml:space="preserve">Full HIPAA Safe Harbor coverage for rare identifier types (vehicle identifiers, device/serial numbers) is not implemented.</w:t>
      </w:r>
    </w:p>
    <w:p>
      <w:pPr>
        <w:pStyle w:val="ListParagraph"/>
        <w:numPr>
          <w:ilvl w:val="0"/>
          <w:numId w:val="1"/>
        </w:numPr>
        <w:spacing w:after="80"/>
      </w:pPr>
      <w:r>
        <w:t xml:space="preserve">No monitoring or drift detection — eval/evaluate.py is a manual, on-demand tool, not a scheduled job.</w:t>
      </w:r>
    </w:p>
    <w:p>
      <w:pPr>
        <w:pStyle w:val="ListParagraph"/>
        <w:numPr>
          <w:ilvl w:val="0"/>
          <w:numId w:val="1"/>
        </w:numPr>
        <w:spacing w:after="80"/>
      </w:pPr>
      <w:r>
        <w:t xml:space="preserve">No API rate limiting.</w:t>
      </w:r>
    </w:p>
    <w:p>
      <w:pPr>
        <w:pStyle w:val="ListParagraph"/>
        <w:numPr>
          <w:ilvl w:val="0"/>
          <w:numId w:val="1"/>
        </w:numPr>
        <w:spacing w:after="80"/>
      </w:pPr>
      <w:r>
        <w:t xml:space="preserve">Single-process deployment ceiling — the SQLite checkpointer does not scale past one process; a multi-replica deployment needs a Postgres or Redis checkpointer instead.</w:t>
      </w:r>
    </w:p>
    <w:p>
      <w:pPr>
        <w:pStyle w:val="ListParagraph"/>
        <w:numPr>
          <w:ilvl w:val="0"/>
          <w:numId w:val="1"/>
        </w:numPr>
        <w:spacing w:after="80"/>
      </w:pPr>
      <w:r>
        <w:t xml:space="preserve">Ground truth does not cover PHI that may appear in narrative body text, only the synthetic header fields deliberately injected.</w:t>
      </w:r>
    </w:p>
    <w:p>
      <w:pPr>
        <w:pStyle w:val="ListParagraph"/>
        <w:numPr>
          <w:ilvl w:val="0"/>
          <w:numId w:val="1"/>
        </w:numPr>
        <w:spacing w:after="80"/>
      </w:pPr>
      <w:r>
        <w:t xml:space="preserve">LLM-based classification (classify_with_llm) is scaffolded but not wired up — the current classifier is a zero-cost keyword/phrase heuristic.</w:t>
      </w:r>
    </w:p>
    <w:p>
      <w:pPr>
        <w:pStyle w:val="ListParagraph"/>
        <w:numPr>
          <w:ilvl w:val="0"/>
          <w:numId w:val="1"/>
        </w:numPr>
        <w:spacing w:after="80"/>
      </w:pPr>
      <w:r>
        <w:t xml:space="preserve">Scanned/image-only PDFs require OCR (extract_pdf_with_ocr), which exists but is not wired into the default upload path.</w:t>
      </w:r>
    </w:p>
    <w:p>
      <w:pPr>
        <w:pStyle w:val="ListParagraph"/>
        <w:numPr>
          <w:ilvl w:val="0"/>
          <w:numId w:val="1"/>
        </w:numPr>
        <w:spacing w:after="80"/>
      </w:pPr>
      <w:r>
        <w:t xml:space="preserve">Deployment infrastructure (containerization, secrets management, HTTPS termination) is not set up.</w:t>
      </w:r>
    </w:p>
    <w:p>
      <w:pPr>
        <w:pStyle w:val="Heading1"/>
        <w:spacing w:after="160" w:before="360"/>
      </w:pPr>
      <w:r>
        <w:t xml:space="preserve">9. Conclusion</w:t>
      </w:r>
    </w:p>
    <w:p>
      <w:pPr>
        <w:spacing w:after="160"/>
      </w:pPr>
      <w:r>
        <w:t xml:space="preserve">This project delivers a working, tested, multi-agent PHI de-identification pipeline that goes meaningfully beyond a single-pass detect-and-redact script: it makes an explicit, calibrated decision about when to trust its own detections versus when to ask a human, it re-validates its own output before returning it, and it keeps a full audit trail of every decision made along the way. Just as importantly, the numbers and bug fixes documented in this report are real — every evaluation figure comes from an actual execution of the evaluation harness, and every bug in Section 6 was found through genuine debugging or live testing with real files, not hypothesized or assumed. That discipline — measure, don't assume; verify a fix before claiming it — is the throughline of how this system was built.</w:t>
      </w:r>
    </w:p>
    <w:p>
      <w:pPr>
        <w:pStyle w:val="Heading1"/>
        <w:spacing w:after="160" w:before="360"/>
      </w:pPr>
      <w:r>
        <w:t xml:space="preserve">Appendix A: Repository Structure</w:t>
      </w:r>
    </w:p>
    <w:p>
      <w:pPr>
        <w:spacing w:after="160"/>
      </w:pPr>
      <w:r>
        <w:t xml:space="preserve">graph/ — GraphState definition and StateGraph wiring (nodes, conditional edges, retry loop, checkpointer). agents/ — one module per LangGraph node (classification, phi_detection, human_review, redaction, compliance_validation, audit_report). api/ — FastAPI application (POST /redact, POST /redact/upload, POST /redact/resume, GET /health). app/ — Streamlit UI. ingestion/ — file-to-text extraction (.txt/.pdf/.docx). scripts/ — dataset generation and demo file generation. eval/ — the evaluation harness and its output. data/ — the labeled dataset (txt_format/pdf_format/docx_format) and ground_truth.json. tests/ — integration and ingestion tests.</w:t>
      </w:r>
    </w:p>
    <w:p>
      <w:pPr>
        <w:pStyle w:val="Heading2"/>
        <w:spacing w:after="120" w:before="280"/>
      </w:pPr>
      <w:r>
        <w:t xml:space="preserve">How to run</w:t>
      </w:r>
    </w:p>
    <w:p>
      <w:pPr>
        <w:spacing w:after="160"/>
      </w:pPr>
      <w:r>
        <w:t xml:space="preserve">Full setup, evaluation, testing, and run instructions for both the API and the Streamlit UI are documented in the repository README.md, including the exact commands used to produce every number in Section 5 of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PHI De-identification &amp; Compliance Workflow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2026-07-19T13:41:23.656Z</dcterms:created>
  <dcterms:modified xsi:type="dcterms:W3CDTF">2026-07-19T13:41:23.658Z</dcterms:modified>
</cp:coreProperties>
</file>

<file path=docProps/custom.xml><?xml version="1.0" encoding="utf-8"?>
<Properties xmlns="http://schemas.openxmlformats.org/officeDocument/2006/custom-properties" xmlns:vt="http://schemas.openxmlformats.org/officeDocument/2006/docPropsVTypes"/>
</file>