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Eric White</w:t>
      </w:r>
    </w:p>
    <w:p>
      <w:r>
        <w:t>DOB: 11/24/2024</w:t>
      </w:r>
    </w:p>
    <w:p>
      <w:r>
        <w:t>MRN: MR-248225</w:t>
      </w:r>
    </w:p>
    <w:p>
      <w:r>
        <w:t>Specimen Date: 06/30/2026</w:t>
      </w:r>
    </w:p>
    <w:p>
      <w:r>
        <w:t>Pathologist: Kyle Andrews</w:t>
      </w:r>
    </w:p>
    <w:p>
      <w:r>
        <w:t>Accession Number: ACC-66779304</w:t>
      </w:r>
    </w:p>
    <w:p/>
    <w:p>
      <w:r>
        <w:t>GROSS DESCRIPTION: , Specimen labeled "sesamoid bone left foot" is received in formalin and consists of three irregular fragments of grey-brown, hard, bony tissue admixed with multiple fragments of brown-tan, rubbery, fibrocollagenous, soft tissue altogether measuring 3.1 x 1.5 x 0.9 cm.  The specimen is entirely submitted, after decalcification.,DIAGNOSIS:,  Acute Osteomyelitis, with foci of marrow fibrosis.,Focal acute and chronic inflammation of fascia and soft tissue.  Arteriosclerosis, severely occlusive.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