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80"/>
        <w:jc w:val="center"/>
      </w:pPr>
      <w:r>
        <w:rPr>
          <w:b/>
          <w:bCs/>
          <w:color w:val="1F4E79"/>
          <w:spacing w:val="20"/>
          <w:sz w:val="22"/>
          <w:szCs w:val="22"/>
        </w:rPr>
        <w:t xml:space="preserve">IITM PRAVARTAK</w:t>
      </w:r>
    </w:p>
    <w:p>
      <w:pPr>
        <w:spacing w:after="480"/>
        <w:jc w:val="center"/>
      </w:pPr>
      <w:r>
        <w:rPr>
          <w:color w:val="5F5E5A"/>
          <w:sz w:val="22"/>
          <w:szCs w:val="22"/>
        </w:rPr>
        <w:t xml:space="preserve">Advanced Certification Programme in Agentic AI</w:t>
      </w:r>
    </w:p>
    <w:p>
      <w:pPr>
        <w:spacing w:after="200"/>
        <w:jc w:val="center"/>
      </w:pPr>
      <w:r>
        <w:rPr>
          <w:b/>
          <w:bCs/>
          <w:color w:val="1F4E79"/>
          <w:sz w:val="44"/>
          <w:szCs w:val="44"/>
        </w:rPr>
        <w:t xml:space="preserve">Capstone Project Report</w:t>
      </w:r>
    </w:p>
    <w:p>
      <w:pPr>
        <w:spacing w:after="120"/>
        <w:jc w:val="center"/>
      </w:pPr>
      <w:r>
        <w:rPr>
          <w:b/>
          <w:bCs/>
          <w:color w:val="1a1a18"/>
          <w:sz w:val="32"/>
          <w:szCs w:val="32"/>
        </w:rPr>
        <w:t xml:space="preserve">AI-Powered PHI De-identification &amp; Compliance Workflow</w:t>
      </w:r>
    </w:p>
    <w:p>
      <w:pPr>
        <w:spacing w:after="800"/>
        <w:jc w:val="center"/>
      </w:pPr>
      <w:r>
        <w:rPr>
          <w:i/>
          <w:iCs/>
          <w:color w:val="5F5E5A"/>
          <w:sz w:val="24"/>
          <w:szCs w:val="24"/>
        </w:rPr>
        <w:t xml:space="preserve">A LangGraph Multi-Agent System for Detecting, Redacting, and Auditing Protected Health Information in Clinical Documents</w:t>
      </w:r>
    </w:p>
    <w:p>
      <w:pPr>
        <w:spacing w:after="800"/>
      </w:pPr>
    </w:p>
    <w:p>
      <w:pPr>
        <w:spacing w:after="100"/>
        <w:jc w:val="center"/>
      </w:pPr>
      <w:r>
        <w:rPr>
          <w:b/>
          <w:bCs/>
          <w:sz w:val="22"/>
          <w:szCs w:val="22"/>
        </w:rPr>
        <w:t>Group Number: 9</w:t>
      </w:r>
    </w:p>
    <w:p>
      <w:pPr>
        <w:spacing w:after="100"/>
        <w:jc w:val="center"/>
      </w:pPr>
      <w:r>
        <w:rPr>
          <w:sz w:val="22"/>
          <w:szCs w:val="22"/>
        </w:rPr>
        <w:t>Team Members: Ramya Priyanka A, Komal Arora, Pujitha Vasanth, Sandeep R, Shourya NS, Twisha Patel</w:t>
      </w:r>
    </w:p>
    <w:p>
      <w:pPr>
        <w:spacing w:after="100"/>
        <w:jc w:val="center"/>
      </w:pPr>
      <w:r>
        <w:rPr>
          <w:sz w:val="22"/>
          <w:szCs w:val="22"/>
        </w:rPr>
        <w:t>Submission Date: July 26, 2026</w:t>
      </w:r>
    </w:p>
    <w:p>
      <w:pPr>
        <w:sectPr>
          <w:pgSz w:w="12240" w:h="15840" w:orient="portrait"/>
          <w:pgMar w:top="1440" w:right="1440" w:bottom="1440" w:left="1440" w:header="708" w:footer="708" w:gutter="0"/>
          <w:pgNumType/>
          <w:docGrid w:linePitch="360"/>
        </w:sectPr>
      </w:pPr>
    </w:p>
    <w:p>
      <w:pPr>
        <w:pStyle w:val="Heading1"/>
        <w:spacing w:after="160" w:before="360"/>
      </w:pPr>
      <w:r>
        <w:t xml:space="preserve">Project Links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c>
          <w:tcPr>
            <w:tcW w:type="dxa" w:w="2600"/>
            <w:shd w:fill="1F4E79" w:val="clear"/>
          </w:tcPr>
          <w:p>
            <w:r>
              <w:rPr>
                <w:b/>
                <w:bCs/>
                <w:color w:val="FFFFFF"/>
                <w:sz w:val="19"/>
                <w:szCs w:val="19"/>
              </w:rPr>
              <w:t xml:space="preserve">GitHub Repository</w:t>
            </w:r>
          </w:p>
        </w:tc>
        <w:tc>
          <w:tcPr>
            <w:tcW w:type="dxa" w:w="6800"/>
          </w:tcPr>
          <w:p>
            <w:r>
              <w:rPr>
                <w:b w:val="false"/>
                <w:bCs w:val="false"/>
                <w:color w:val="1a1a18"/>
                <w:sz w:val="18"/>
                <w:szCs w:val="18"/>
              </w:rPr>
              <w:t>https://github.com/Ramya192/phi-deidentification</w:t>
            </w:r>
          </w:p>
        </w:tc>
      </w:tr>
      <w:tr>
        <w:tc>
          <w:tcPr>
            <w:tcW w:type="dxa" w:w="2600"/>
            <w:shd w:fill="1F4E79" w:val="clear"/>
          </w:tcPr>
          <w:p>
            <w:r>
              <w:rPr>
                <w:b/>
                <w:bCs/>
                <w:color w:val="FFFFFF"/>
                <w:sz w:val="19"/>
                <w:szCs w:val="19"/>
              </w:rPr>
              <w:t xml:space="preserve">Live Demo (Streamlit Community Cloud)</w:t>
            </w:r>
          </w:p>
        </w:tc>
        <w:tc>
          <w:tcPr>
            <w:tcW w:type="dxa" w:w="6800"/>
          </w:tcPr>
          <w:p>
            <w:r>
              <w:rPr>
                <w:b w:val="false"/>
                <w:bCs w:val="false"/>
                <w:color w:val="1a1a18"/>
                <w:sz w:val="18"/>
                <w:szCs w:val="18"/>
              </w:rPr>
              <w:t>Pending deployment -- will be added here once the app finishes deploying on Streamlit Community Cloud (see README's Deployment section).</w:t>
            </w:r>
          </w:p>
        </w:tc>
      </w:tr>
    </w:tbl>
    <w:p>
      <w:pPr>
        <w:spacing w:after="200"/>
      </w:pPr>
    </w:p>
    <w:p>
      <w:pPr>
        <w:spacing w:after="160"/>
      </w:pPr>
      <w:r>
        <w:t xml:space="preserve">The live demo runs the same FastAPI + Streamlit architecture described in Section 2 and Section 7: app/streamlit_app.py starts the FastAPI backend itself in a background thread on Streamlit Community Cloud, since that platform only runs a single entrypoint (see README's Deployment section). No account or manual API key entry is required to try it — the API key is pre-configured as a Streamlit secret, and the sidebar reads it automatically. Note that the live demo runs on the smaller en_core_web_sm spaCy model rather than en_core_web_lg (the model used for every number in Section 5), since the platform's 1GB RAM cap cannot fit the larger model alongside two web server processes — a Dockerfile/start.sh pair is also included in the repository for a single-container deployment (e.g. Hugging Face Spaces) that can run en_core_web_lg and reproduce the reported numbers exactly.</w:t>
      </w:r>
    </w:p>
    <w:p>
      <w:pPr>
        <w:pStyle w:val="Heading1"/>
        <w:spacing w:after="160" w:before="360"/>
      </w:pPr>
      <w:r>
        <w:t xml:space="preserve">Executive Summary</w:t>
      </w:r>
    </w:p>
    <w:p>
      <w:pPr>
        <w:spacing w:after="160"/>
      </w:pPr>
      <w:r>
        <w:t xml:space="preserve">This project implements a production-hardened, multi-agent pipeline that automatically detects and redacts Protected Health Information (PHI) from clinical documents, in line with the 18 HIPAA Safe Harbor identifier categories. The system is orchestrated as a genuine LangGraph StateGraph — not a linear script — with conditional routing, a persistent checkpointer, a human-in-the-loop review node built on LangGraph's interrupt() primitive, and a bounded retry loop that re-validates redacted output before it is ever returned to a caller.</w:t>
      </w:r>
    </w:p>
    <w:p>
      <w:pPr>
        <w:spacing w:after="160"/>
      </w:pPr>
      <w:r>
        <w:t xml:space="preserve">The pipeline was originally scoped against the n2c2 2014 de-identification benchmark. That dataset is currently listed as “Temporarily Unavailable” on the DBMI Data Portal, so the team pivoted to a reproducible alternative: real clinical document structure from the Kaggle “Medical Transcriptions” corpus (mtsamples), combined with a synthetic PHI injector built on Faker that stamps a labeled, exact-character-offset ground truth onto every document. This produced 354 labeled documents spanning 7 clinical document types and 2,150+ labeled PHI spans, which the team then used for real, repeatable precision/recall/F1 evaluation — not a self-reported number.</w:t>
      </w:r>
    </w:p>
    <w:p>
      <w:pPr>
        <w:spacing w:after="160"/>
      </w:pPr>
      <w:r>
        <w:t xml:space="preserve">Beyond the core detect-redact-validate loop, the system was hardened for production use: per-entity-type confidence thresholds calibrated against real eval data, three previously-unsupported PHI categories added to close a genuine 0% recall gap, a SQLite-backed checkpointer so an in-flight human review session survives a process restart, API key authentication on every PHI-handling endpoint, and PHI-safe logging that never echoes document content back to a caller on error. A Streamlit UI was built as a thin HTTP client of the FastAPI backend — deliberately not a direct importer of the pipeline — mirroring how a real deployment would separate the enforcement point (the API) from any given client.</w:t>
      </w:r>
    </w:p>
    <w:p>
      <w:pPr>
        <w:spacing w:after="160"/>
      </w:pPr>
      <w:r>
        <w:t>Live end-to-end testing through that UI, using real uploaded .docx and .pdf files, surfaced and led to the fix of eight genuine bugs that a synthetic offline evaluation run could never have caught on its own: a phone-number regex that silently dropped extension-suffixed numbers, a named-entity match that bled across a line break and corrupted adjacent header fields, a post-processing overlap-resolution bug that discarded correct high-confidence detections in favor of incorrect low-confidence ones, a human-review workflow defect where a reviewer's explicit “not PHI” decision could not actually persist across the system's own retry loop, and a systematic PERSON recall gap on structured header lines found through a rigorous, evidence-based error analysis rather than assumed. Each is documented below with root cause, fix, and the real verification evidence used to confirm it.</w:t>
      </w:r>
    </w:p>
    <w:p>
      <w:pPr>
        <w:spacing w:after="160"/>
      </w:pPr>
      <w:r>
        <w:t xml:space="preserve">A second hardening pass extended the system beyond the core detect-redact-validate loop into several further agentic-AI concepts: an optional GPT-4o-mini classification backend with a retrieval-augmented few-shot step (embedding-similarity lookup over a small example set, functionally equivalent to a vector-store-backed RAG pipeline) and a privacy pre-scrub that masks obvious identifiers before any text reaches a third-party API; a measured ablation study quantifying exactly what the human-in-the-loop review step is worth (a positive, real F1 delta, not an assumed one); per-node observability with wall-clock latency tracking; and a live, Server-Sent-Events-driven pipeline progress display in the UI that reflects genuine LangGraph node execution in real time rather than a simulated animation. The system's collaboration topology, memory architecture, and guardrails — all present in the original design but previously left implicit — are now explicitly documented and justified against alternative designs.</w:t>
      </w:r>
    </w:p>
    <w:p>
      <w:r>
        <w:t>A third hardening pass then made the system genuinely multi-agent rather than a single-model pipeline with optional LLM calls bolted on. LLMAdjudicationAgent (optional, off by default) is a real agentic node: it uses tool-calling (bind_tools) to decide whether it needs more document context before finalizing a structured decision (Pydantic AdjudicationDecision via with_structured_output), reviewing only the specific spans traditional detection already flagged as ambiguous, and deferring to a human on any low-confidence decision or outright failure rather than guessing. A second, separate persistence layer (storage/audit_store.py) now stores an immutable, queryable audit record per completed run — distinct from the LangGraph checkpointer, which holds in-flight state for one run — with PHI span text sanitized to a length-preserving placeholder before it is ever written to that long-lived store, closing a real data-exposure gap identified during review. A retry-cap escalation path guarantees a persistently-failing document still terminates rather than looping or silently giving up; a structured compliance_score complements the single PASS/FAIL status; a batch endpoint processes several documents per request with per-item fault isolation; and /health now reports real readiness (graph_compiled, checkpointer_backend) instead of a hardcoded “ok”. All of this is covered by dedicated tests (Section 5.5) with zero regressions against the existing suite.</w:t>
      </w:r>
    </w:p>
    <w:p>
      <w:pPr>
        <w:pStyle w:val="Heading1"/>
        <w:spacing w:after="160" w:before="360"/>
      </w:pPr>
      <w:r>
        <w:t xml:space="preserve">1. Problem Statement &amp; Motivation</w:t>
      </w:r>
    </w:p>
    <w:p>
      <w:pPr>
        <w:spacing w:after="160"/>
      </w:pPr>
      <w:r>
        <w:t xml:space="preserve">Clinical documents — lab reports, pathology reports, discharge summaries, radiology reports, referral letters, insurance documents, and general clinical notes — routinely contain PHI: patient names, dates of birth, medical record numbers, phone numbers, account and claim numbers, and more. Before such documents can be shared for research, training, or any secondary use, that PHI must be identified and removed to HIPAA Safe Harbor standard.</w:t>
      </w:r>
    </w:p>
    <w:p>
      <w:pPr>
        <w:spacing w:after="160"/>
      </w:pPr>
      <w:r>
        <w:t xml:space="preserve">Doing this by hand does not scale, and a purely automated approach carries real risk: a missed detection is a genuine PHI leak, while an over-aggressive detector destroys the clinical usefulness of the document by redacting things that were never PHI to begin with. The core design problem this project solves is therefore not “detect PHI” in isolation, but building a system that is honest about its own uncertainty — routing only the detections it is not confident about to a human reviewer, while auto-redacting the ones it can trust, and then re-validating its own output before calling the job done.</w:t>
      </w:r>
    </w:p>
    <w:p>
      <w:pPr>
        <w:spacing w:after="160"/>
      </w:pPr>
      <w:r>
        <w:t xml:space="preserve">This is why the system is built as an agentic workflow rather than a single detection function: classification, detection, human review, redaction, validation, and audit reporting are each a distinct responsibility with its own inputs, outputs, and failure modes, and the LangGraph state machine is what lets those responsibilities compose safely — including the ability to loop back and try again when validation fails.</w:t>
      </w:r>
    </w:p>
    <w:p>
      <w:pPr>
        <w:pStyle w:val="Heading1"/>
        <w:spacing w:after="160" w:before="360"/>
      </w:pPr>
      <w:r>
        <w:t xml:space="preserve">2. System Architecture</w:t>
      </w:r>
    </w:p>
    <w:p>
      <w:pPr>
        <w:spacing w:after="160"/>
      </w:pPr>
      <w:r>
        <w:t xml:space="preserve">The pipeline is implemented as a LangGraph StateGraph with the following node sequence: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1F4E79" w:val="clear"/>
          </w:tcPr>
          <w:p>
            <w:r>
              <w:rPr>
                <w:b/>
                <w:bCs/>
                <w:color w:val="FFFFFF"/>
                <w:sz w:val="19"/>
                <w:szCs w:val="19"/>
              </w:rPr>
              <w:t xml:space="preserve">Node</w:t>
            </w:r>
          </w:p>
        </w:tc>
        <w:tc>
          <w:tcPr>
            <w:tcW w:type="dxa" w:w="6200"/>
            <w:shd w:fill="1F4E79" w:val="clear"/>
          </w:tcPr>
          <w:p>
            <w:r>
              <w:rPr>
                <w:b/>
                <w:bCs/>
                <w:color w:val="FFFFFF"/>
                <w:sz w:val="19"/>
                <w:szCs w:val="19"/>
              </w:rPr>
              <w:t xml:space="preserve">Responsibility</w:t>
            </w:r>
          </w:p>
        </w:tc>
      </w:tr>
      <w:tr>
        <w:tc>
          <w:tcPr>
            <w:tcW w:type="dxa" w:w="1000"/>
          </w:tcPr>
          <w:p>
            <w:r>
              <w:rPr>
                <w:b/>
                <w:bCs/>
                <w:color w:val="1a1a18"/>
                <w:sz w:val="18"/>
                <w:szCs w:val="18"/>
              </w:rPr>
              <w:t xml:space="preserve">ClassificationAgent</w:t>
            </w:r>
          </w:p>
        </w:tc>
        <w:tc>
          <w:tcPr>
            <w:tcW w:type="dxa" w:w="1000"/>
          </w:tcPr>
          <w:p>
            <w:r>
              <w:rPr>
                <w:b w:val="false"/>
                <w:bCs w:val="false"/>
                <w:color w:val="1a1a18"/>
                <w:sz w:val="18"/>
                <w:szCs w:val="18"/>
              </w:rPr>
              <w:t xml:space="preserve">Routes the document into one of 7 clinical document types, or “not_applicable” (routed straight to END, skipping PHI detection entirely) using weighted keyword/phrase heuristics by default — zero API keys required. Optional GPT-4o-mini backend with retrieval-augmented few-shot prompting available (Section 4.6), with automatic fallback to the heuristic on any failure.</w:t>
            </w:r>
          </w:p>
        </w:tc>
      </w:tr>
      <w:tr>
        <w:tc>
          <w:tcPr>
            <w:tcW w:type="dxa" w:w="1000"/>
          </w:tcPr>
          <w:p>
            <w:r>
              <w:rPr>
                <w:b/>
                <w:bCs/>
                <w:color w:val="1a1a18"/>
                <w:sz w:val="18"/>
                <w:szCs w:val="18"/>
              </w:rPr>
              <w:t xml:space="preserve">PHIDetectionAgent</w:t>
            </w:r>
          </w:p>
        </w:tc>
        <w:tc>
          <w:tcPr>
            <w:tcW w:type="dxa" w:w="1000"/>
          </w:tcPr>
          <w:p>
            <w:r>
              <w:rPr>
                <w:b w:val="false"/>
                <w:bCs w:val="false"/>
                <w:color w:val="1a1a18"/>
                <w:sz w:val="18"/>
                <w:szCs w:val="18"/>
              </w:rPr>
              <w:t xml:space="preserve">Primary path: Microsoft Presidio (AnalyzerEngine + spaCy) plus custom clinical recognizers (MRN, health plan ID, account/accession/claim number, fax number). Falls back automatically to a dependency-free regex detector if Presidio/spaCy are unavailable. Splits results into high-confidence and low-confidence spans using per-type thresholds.</w:t>
            </w:r>
          </w:p>
        </w:tc>
      </w:tr>
      <w:tr>
        <w:tc>
          <w:tcPr>
            <w:tcW w:type="dxa" w:w="3200"/>
          </w:tcPr>
          <w:p>
            <w:r/>
            <w:r>
              <w:rPr>
                <w:b/>
                <w:color w:val="1A1A18"/>
                <w:sz w:val="18"/>
              </w:rPr>
              <w:t>PHIValidationAgent</w:t>
            </w:r>
          </w:p>
        </w:tc>
        <w:tc>
          <w:tcPr>
            <w:tcW w:type="dxa" w:w="6200"/>
          </w:tcPr>
          <w:p>
            <w:r/>
            <w:r>
              <w:rPr>
                <w:color w:val="1A1A18"/>
                <w:sz w:val="18"/>
              </w:rPr>
              <w:t>Schema/completeness check that runs right after PHIDetectionAgent: did detection find every identifier type this document type is expected to have? A verifier over coverage, not a redaction decision.</w:t>
            </w:r>
          </w:p>
        </w:tc>
      </w:tr>
      <w:tr>
        <w:tc>
          <w:tcPr>
            <w:tcW w:type="dxa" w:w="3200"/>
          </w:tcPr>
          <w:p>
            <w:r/>
            <w:r>
              <w:rPr>
                <w:b/>
                <w:color w:val="1A1A18"/>
                <w:sz w:val="18"/>
              </w:rPr>
              <w:t>LLMAdjudicationAgent</w:t>
            </w:r>
          </w:p>
        </w:tc>
        <w:tc>
          <w:tcPr>
            <w:tcW w:type="dxa" w:w="6200"/>
          </w:tcPr>
          <w:p>
            <w:r/>
            <w:r>
              <w:rPr>
                <w:color w:val="1A1A18"/>
                <w:sz w:val="18"/>
              </w:rPr>
              <w:t>Optional agentic tier (PHI_DEID_ADJUDICATION_BACKEND=llm, default off / no-op). Reviews only the low-confidence spans PHIDetectionAgent couldn't confidently resolve: tool-calling decides whether more document context is needed, then a structured decision (Pydantic) confirms, rejects, or defers each span to a human. Fail-safe by design -- a low-confidence decision or a call failure both defer rather than guess.</w:t>
            </w:r>
          </w:p>
        </w:tc>
      </w:tr>
      <w:tr>
        <w:tc>
          <w:tcPr>
            <w:tcW w:type="dxa" w:w="1000"/>
          </w:tcPr>
          <w:p>
            <w:r>
              <w:rPr>
                <w:b/>
                <w:bCs/>
                <w:color w:val="1a1a18"/>
                <w:sz w:val="18"/>
                <w:szCs w:val="18"/>
              </w:rPr>
              <w:t xml:space="preserve">HumanReviewAgent</w:t>
            </w:r>
          </w:p>
        </w:tc>
        <w:tc>
          <w:tcPr>
            <w:tcW w:type="dxa" w:w="1000"/>
          </w:tcPr>
          <w:p>
            <w:r>
              <w:rPr>
                <w:b w:val="false"/>
                <w:bCs w:val="false"/>
                <w:color w:val="1a1a18"/>
                <w:sz w:val="18"/>
                <w:szCs w:val="18"/>
              </w:rPr>
              <w:t xml:space="preserve">A genuine LangGraph interrupt() node. Execution pauses for every low-confidence span, control returns to the caller (API / UI), and a human reviewer approves or rejects each span before the graph resumes.</w:t>
            </w:r>
          </w:p>
        </w:tc>
      </w:tr>
      <w:tr>
        <w:tc>
          <w:tcPr>
            <w:tcW w:type="dxa" w:w="1000"/>
          </w:tcPr>
          <w:p>
            <w:r>
              <w:rPr>
                <w:b/>
                <w:bCs/>
                <w:color w:val="1a1a18"/>
                <w:sz w:val="18"/>
                <w:szCs w:val="18"/>
              </w:rPr>
              <w:t xml:space="preserve">RedactionAgent</w:t>
            </w:r>
          </w:p>
        </w:tc>
        <w:tc>
          <w:tcPr>
            <w:tcW w:type="dxa" w:w="1000"/>
          </w:tcPr>
          <w:p>
            <w:r>
              <w:rPr>
                <w:b w:val="false"/>
                <w:bCs w:val="false"/>
                <w:color w:val="1a1a18"/>
                <w:sz w:val="18"/>
                <w:szCs w:val="18"/>
              </w:rPr>
              <w:t xml:space="preserve">Replaces every approved span (auto-approved high-confidence spans plus human-approved low-confidence spans) with a [TYPE] placeholder tag, preserving document structure and readability.</w:t>
            </w:r>
          </w:p>
        </w:tc>
      </w:tr>
      <w:tr>
        <w:tc>
          <w:tcPr>
            <w:tcW w:type="dxa" w:w="1000"/>
          </w:tcPr>
          <w:p>
            <w:r>
              <w:rPr>
                <w:b/>
                <w:bCs/>
                <w:color w:val="1a1a18"/>
                <w:sz w:val="18"/>
                <w:szCs w:val="18"/>
              </w:rPr>
              <w:t xml:space="preserve">ComplianceValidationAgent</w:t>
            </w:r>
          </w:p>
        </w:tc>
        <w:tc>
          <w:tcPr>
            <w:tcW w:type="dxa" w:w="1000"/>
          </w:tcPr>
          <w:p>
            <w:r>
              <w:rPr>
                <w:b w:val="false"/>
                <w:bCs w:val="false"/>
                <w:color w:val="1a1a18"/>
                <w:sz w:val="18"/>
                <w:szCs w:val="18"/>
              </w:rPr>
              <w:t xml:space="preserve">Independently re-scans the redacted text with the same detector. If any PHI-looking content remains, sets validation_status = FAIL and the graph loops back to PHIDetectionAgent (capped at 2 retries) rather than silently returning an incomplete redaction.</w:t>
            </w:r>
          </w:p>
        </w:tc>
      </w:tr>
      <w:tr>
        <w:tc>
          <w:tcPr>
            <w:tcW w:type="dxa" w:w="1000"/>
          </w:tcPr>
          <w:p>
            <w:r>
              <w:rPr>
                <w:b/>
                <w:bCs/>
                <w:color w:val="1a1a18"/>
                <w:sz w:val="18"/>
                <w:szCs w:val="18"/>
              </w:rPr>
              <w:t xml:space="preserve">AuditReportAgent</w:t>
            </w:r>
          </w:p>
        </w:tc>
        <w:tc>
          <w:tcPr>
            <w:tcW w:type="dxa" w:w="1000"/>
          </w:tcPr>
          <w:p>
            <w:r>
              <w:rPr>
                <w:b w:val="false"/>
                <w:bCs w:val="false"/>
                <w:color w:val="1a1a18"/>
                <w:sz w:val="18"/>
                <w:szCs w:val="18"/>
              </w:rPr>
              <w:t xml:space="preserve">Produces the final compliance report (validation status, retry count, span counts by type, manual-follow-up flag) and the full per-decision audit log.</w:t>
            </w:r>
          </w:p>
        </w:tc>
      </w:tr>
    </w:tbl>
    <w:p>
      <w:pPr>
        <w:spacing w:after="200"/>
      </w:pPr>
    </w:p>
    <w:p>
      <w:pPr>
        <w:jc w:val="center"/>
      </w:pPr>
      <w:r>
        <w:drawing>
          <wp:inline xmlns:a="http://schemas.openxmlformats.org/drawingml/2006/main" xmlns:pic="http://schemas.openxmlformats.org/drawingml/2006/picture">
            <wp:extent cx="4754880" cy="5640701"/>
            <wp:docPr id="1" name="Picture 1"/>
            <wp:cNvGraphicFramePr>
              <a:graphicFrameLocks noChangeAspect="1"/>
            </wp:cNvGraphicFramePr>
            <a:graphic>
              <a:graphicData uri="http://schemas.openxmlformats.org/drawingml/2006/picture">
                <pic:pic>
                  <pic:nvPicPr>
                    <pic:cNvPr id="0" name="graph_diagram.png"/>
                    <pic:cNvPicPr/>
                  </pic:nvPicPr>
                  <pic:blipFill>
                    <a:blip r:embed="rId10"/>
                    <a:stretch>
                      <a:fillRect/>
                    </a:stretch>
                  </pic:blipFill>
                  <pic:spPr>
                    <a:xfrm>
                      <a:off x="0" y="0"/>
                      <a:ext cx="4754880" cy="5640701"/>
                    </a:xfrm>
                    <a:prstGeom prst="rect"/>
                  </pic:spPr>
                </pic:pic>
              </a:graphicData>
            </a:graphic>
          </wp:inline>
        </w:drawing>
      </w:r>
    </w:p>
    <w:p>
      <w:pPr>
        <w:jc w:val="center"/>
      </w:pPr>
      <w:r>
        <w:rPr>
          <w:i/>
          <w:sz w:val="17"/>
        </w:rPr>
        <w:t>Figure 1: The compiled LangGraph pipeline, rendered directly from graph.workflow.build_graph().get_graph().draw_png() -- not hand-drawn. Solid edges are unconditional; dotted edges are conditional routing decisions (confidence split, PASS/FAIL, retry, escalation).</w:t>
      </w:r>
    </w:p>
    <w:p/>
    <w:p>
      <w:pPr>
        <w:spacing w:after="160"/>
      </w:pPr>
      <w:r>
        <w:t xml:space="preserve">Both confidence branches converge at RedactionAgent before validation runs: human review decides whether a low-confidence span is genuine PHI, and redaction is the step that actually masks it, so that approved-as-PHI spans are never left un-redacted going into validation.</w:t>
      </w:r>
    </w:p>
    <w:p>
      <w:pPr>
        <w:spacing w:after="160"/>
      </w:pPr>
      <w:r>
        <w:t xml:space="preserve">The graph is checkpointed — SQLite-backed by default (data/checkpoints.sqlite), with automatic fallback to an in-memory checkpointer if the optional package isn't installed — because HumanReviewAgent's interrupt()/resume flow depends on LangGraph being able to persist state across the pause. This means an in-flight human review session now survives a process restart, which an in-memory-only checkpointer cannot guarantee.</w:t>
      </w:r>
    </w:p>
    <w:p>
      <w:pPr>
        <w:pStyle w:val="Heading2"/>
        <w:spacing w:after="120" w:before="280"/>
      </w:pPr>
      <w:r>
        <w:t xml:space="preserve">2.1 Agent roles and collaboration topology</w:t>
      </w:r>
    </w:p>
    <w:p>
      <w:pPr>
        <w:spacing w:after="160"/>
      </w:pPr>
      <w:r>
        <w:t>Mapping the twelve nodes onto the standard agent-role vocabulary: ClassificationAgent is the planner (decides which path the document takes); PHIDetectionAgent is the executor responsible for perception (produces the candidate spans everything downstream acts on); HumanReviewAgent is a critic — specifically a human-in-the-loop critic that vets the executor's low-confidence calls before they are acted on; RedactionAgent is the executor responsible for action (applies approved decisions); ComplianceValidationAgent is the verifier (independently re-checks the executor's output before it is accepted); AuditReportAgent is a terminal reporter, not a decision-maker.</w:t>
      </w:r>
    </w:p>
    <w:p>
      <w:pPr>
        <w:spacing w:after="160"/>
      </w:pPr>
      <w:r>
        <w:t xml:space="preserve">The collaboration topology is a hierarchical pipeline with a human-in-the-loop debate step, not a peer-to-peer or blackboard system. A single orchestrator (the compiled StateGraph) owns the sequence and every conditional branch; agents do not communicate with each other directly or negotiate — they read and write a shared GraphState object the orchestrator passes along. HumanReviewAgent is the one place this is not strictly linear: it is a genuine debate between PHIDetectionAgent's call and a human reviewer's judgment on every low-confidence span, with the human's decision authoritative and persisted via rejected_spans.</w:t>
      </w:r>
    </w:p>
    <w:p>
      <w:pPr>
        <w:spacing w:after="160"/>
      </w:pPr>
      <w:r>
        <w:t xml:space="preserve">Alternative topologies were considered and rejected for concrete reasons rather than by default. Peer-to-peer (agents negotiating directly) would add coordination complexity with no benefit here — there is no scenario where, for example, RedactionAgent needs to question PHIDetectionAgent's judgment directly; that is exactly what the dedicated ComplianceValidationAgent verifier step is for instead. Blackboard (a shared workspace multiple agents read and write opportunistically) is a closer conceptual match for GraphState itself, but this pipeline's execution order is strict and known in advance, so a full blackboard's flexible, order-independent access pattern would solve a problem this workflow does not have. Manager-worker with parallel workers does not apply either — there is no sub-task here that benefits from parallel specialized workers; each node's output is a hard prerequisite for the next. The one deliberate deviation from a strict straight-line pipeline is the bounded retry loop (ComplianceValidationAgent back to PHIDetectionAgent, capped at max_retries) — a bounded feedback loop, not an open-ended cycle.</w:t>
      </w:r>
    </w:p>
    <w:p>
      <w:pPr>
        <w:pStyle w:val="Heading2"/>
        <w:spacing w:after="120" w:before="280"/>
      </w:pPr>
      <w:r>
        <w:t xml:space="preserve">2.2 Memory architecture</w:t>
      </w:r>
    </w:p>
    <w:p>
      <w:pPr>
        <w:spacing w:after="160"/>
      </w:pPr>
      <w:r>
        <w:t xml:space="preserve">Two distinct kinds of memory are used, deliberately not conflated. Short-term / working memory is GraphState itself — everything an agent needs for its decision (spans detected so far, confidence scores, retry count) lives here, scoped to a single document's run through the graph. Persistent memory is the SQLite checkpointer, which is what lets HumanReviewAgent's interrupt() survive a process restart: LangGraph serializes the entire GraphState at the pause point and can resume it later, even in a different process, keyed by thread_id. rejected_spans is a narrower form of memory that persists within a single document's retry loop specifically — every span a human has explicitly rejected as “not PHI” stays remembered across retry rounds, intentionally scoped to one document's thread rather than global across documents: letting one patient's review decision silently change another patient's automated behavior would be a real correctness and audit risk for a compliance tool, not just a missed optimization. Cross-document long-term memory was therefore deliberately not implemented (see Limitations).</w:t>
      </w:r>
    </w:p>
    <w:p>
      <w:pPr>
        <w:pStyle w:val="Heading2"/>
        <w:spacing w:after="120" w:before="280"/>
      </w:pPr>
      <w:r>
        <w:t xml:space="preserve">2.3 Guardrails</w:t>
      </w:r>
    </w:p>
    <w:p>
      <w:pPr>
        <w:spacing w:after="160"/>
      </w:pPr>
      <w:r>
        <w:t xml:space="preserve">Safety and control measures enforced at each layer: API-key authentication on every PHI-handling endpoint, checked in constant time; privacy-safe error handling that never echoes document content back to a caller; human-in-the-loop as a hard gate — no code path lets a low-confidence span reach RedactionAgent without either auto-approval (high-confidence only) or an explicit human decision; a bounded retry loop that terminates with an explicit manual-follow-up flag rather than looping forever; LLM call isolation, where the optional classification path is wrapped so a flaky API, bad response, or missing key can never crash the pipeline or block a document from being processed; and a PHI pre-scrub applied before any text is sent to a third-party LLM API (Section 4.6). Input size limiting is a known, documented gap rather than a silent omission (see Limitations).</w:t>
      </w:r>
    </w:p>
    <w:p>
      <w:pPr>
        <w:pStyle w:val="Heading1"/>
        <w:spacing w:after="160" w:before="360"/>
      </w:pPr>
      <w:r>
        <w:t xml:space="preserve">3. Data &amp; Methodology</w:t>
      </w:r>
    </w:p>
    <w:p>
      <w:pPr>
        <w:pStyle w:val="Heading2"/>
        <w:spacing w:after="120" w:before="280"/>
      </w:pPr>
      <w:r>
        <w:t xml:space="preserve">3.1 Benchmark pivot</w:t>
      </w:r>
    </w:p>
    <w:p>
      <w:pPr>
        <w:spacing w:after="160"/>
      </w:pPr>
      <w:r>
        <w:t xml:space="preserve">The project was originally scoped against the n2c2 2014 de-identification shared-task dataset. At the time of this project, n2c2 2014 is listed as “Temporarily Unavailable” on the DBMI Data Portal — registration is closed, not merely gated behind a data use agreement. Rather than block the entire evaluation plan on that, the team built a reproducible alternative evaluation set instead.</w:t>
      </w:r>
    </w:p>
    <w:p>
      <w:pPr>
        <w:pStyle w:val="Heading2"/>
        <w:spacing w:after="120" w:before="280"/>
      </w:pPr>
      <w:r>
        <w:t xml:space="preserve">3.2 Dataset construction</w:t>
      </w:r>
    </w:p>
    <w:p>
      <w:pPr>
        <w:spacing w:after="160"/>
      </w:pPr>
      <w:r>
        <w:t xml:space="preserve">Two sources were combined:</w:t>
      </w:r>
    </w:p>
    <w:p>
      <w:pPr>
        <w:pStyle w:val="ListParagraph"/>
        <w:numPr>
          <w:ilvl w:val="0"/>
          <w:numId w:val="1"/>
        </w:numPr>
        <w:spacing w:after="80"/>
      </w:pPr>
      <w:r>
        <w:t xml:space="preserve">Kaggle “Medical Transcriptions” (tboyle10/medicaltranscriptions, CC0) for realistic document structure and clinical language across specialties.</w:t>
      </w:r>
    </w:p>
    <w:p>
      <w:pPr>
        <w:pStyle w:val="ListParagraph"/>
        <w:numPr>
          <w:ilvl w:val="0"/>
          <w:numId w:val="1"/>
        </w:numPr>
        <w:spacing w:after="80"/>
      </w:pPr>
      <w:r>
        <w:t xml:space="preserve">A synthetic PHI injector built on the Faker library, which prepends a labeled identifying-information header (name, DOB, MRN, phone, dates, provider names, account/claim/accession numbers, and more) to each document and records the exact character span of every value it inserts — producing an exact, reproducible ground truth that a real dataset without gold PHI annotations cannot provide.</w:t>
      </w:r>
    </w:p>
    <w:p>
      <w:pPr>
        <w:spacing w:after="160"/>
      </w:pPr>
      <w:r>
        <w:t xml:space="preserve">This produced 354 labeled documents across the 7 clinical document types (50 per type, 51 for three types that also carry one hand-written fixture each), totaling 2,150+ labeled PHI spans. pathology_report and lab_report have limited representation in the underlying mtsamples corpus, so the majority of those two categories draw on a small set of built-in fallback templates rather than borrowed real transcription text; every other document type has ample real source material.</w:t>
      </w:r>
    </w:p>
    <w:p>
      <w:pPr>
        <w:pStyle w:val="Heading2"/>
        <w:spacing w:after="120" w:before="280"/>
      </w:pPr>
      <w:r>
        <w:t xml:space="preserve">3.3 Evaluation methodology</w:t>
      </w:r>
    </w:p>
    <w:p>
      <w:pPr>
        <w:spacing w:after="160"/>
      </w:pPr>
      <w:r>
        <w:t xml:space="preserve">eval/evaluate.py scores PHIDetectionAgent against the labeled ground truth using two matching strategies, per standard i2b2/n2c2 practice:</w:t>
      </w:r>
    </w:p>
    <w:p>
      <w:pPr>
        <w:pStyle w:val="ListParagraph"/>
        <w:numPr>
          <w:ilvl w:val="0"/>
          <w:numId w:val="1"/>
        </w:numPr>
        <w:spacing w:after="80"/>
      </w:pPr>
      <w:r>
        <w:t xml:space="preserve">STRICT — requires an exact (start, end, phi_type) match.</w:t>
      </w:r>
    </w:p>
    <w:p>
      <w:pPr>
        <w:pStyle w:val="ListParagraph"/>
        <w:numPr>
          <w:ilvl w:val="0"/>
          <w:numId w:val="1"/>
        </w:numPr>
        <w:spacing w:after="80"/>
      </w:pPr>
      <w:r>
        <w:t xml:space="preserve">OVERLAP — counts any character overlap of the same type, matched greedily so a span cannot be double-counted. This exists because the injected ground truth spans cover just the value (e.g. MR-969634), while a detector may reasonably also flag the label (MRN: MR-969634) — a boundary convention difference, not a genuine miss.</w:t>
      </w:r>
    </w:p>
    <w:p>
      <w:pPr>
        <w:pStyle w:val="Heading1"/>
        <w:spacing w:after="160" w:before="360"/>
      </w:pPr>
      <w:r>
        <w:t xml:space="preserve">4. Production Hardening</w:t>
      </w:r>
    </w:p>
    <w:p>
      <w:pPr>
        <w:spacing w:after="160"/>
      </w:pPr>
      <w:r>
        <w:t xml:space="preserve">Given the project's scope, the team deliberately split work into features that were actually built and tested, versus gaps documented honestly as future work rather than silently left in the codebase. The following five hardening features were implemented as real, tested code:</w:t>
      </w:r>
    </w:p>
    <w:p>
      <w:pPr>
        <w:pStyle w:val="Heading2"/>
        <w:spacing w:after="120" w:before="280"/>
      </w:pPr>
      <w:r>
        <w:t xml:space="preserve">4.1 Per-entity-type confidence thresholds</w:t>
      </w:r>
    </w:p>
    <w:p>
      <w:pPr>
        <w:spacing w:after="160"/>
      </w:pPr>
      <w:r>
        <w:t xml:space="preserve">A single global confidence threshold treats every detector as equally trustworthy, which is not true in practice. Regex/pattern-backed types (MRN, HEALTH_PLAN_ID, ACCOUNT_NUMBER, ACCESSION_NUMBER, CLAIM_NUMBER, EMAIL_ADDRESS, SSN, IP_ADDRESS, URL, FAX_NUMBER) are near-deterministic once matched — measured at ~1.0 precision in the team's own eval runs — so they auto-redact at a lower bar (0.6). NER-driven types are noisier: PERSON measured only 0.58 overlap precision, and DATE_TIME carries real false-positive noise from dates in narrative body text, so both require a higher bar (0.85 and 0.8 respectively) before auto-redacting without a human in the loop.</w:t>
      </w:r>
    </w:p>
    <w:p>
      <w:pPr>
        <w:pStyle w:val="Heading2"/>
        <w:spacing w:after="120" w:before="280"/>
      </w:pPr>
      <w:r>
        <w:t xml:space="preserve">4.2 Closing a real recall gap</w:t>
      </w:r>
    </w:p>
    <w:p>
      <w:pPr>
        <w:spacing w:after="160"/>
      </w:pPr>
      <w:r>
        <w:t xml:space="preserve">ACCESSION_NUMBER, ACCOUNT_NUMBER, and CLAIM_NUMBER initially measured 0% recall on both backends — a genuine, confirmed bug, not a modeling limitation. The fallback regex required the label to be followed immediately by punctuation, so header lines like “Account Number: ACCT-123456” never matched at all; Presidio, meanwhile, has no built-in concept of a clinical accession number or insurance claim number, so no recognizer existed for them there either. Both were fixed: the regex was relaxed to make “Number/No./#” optional, and three new custom Presidio PatternRecognizers were registered. A FAX_NUMBER type was added alongside these for Safe Harbor completeness.</w:t>
      </w:r>
    </w:p>
    <w:p>
      <w:pPr>
        <w:pStyle w:val="Heading2"/>
        <w:spacing w:after="120" w:before="280"/>
      </w:pPr>
      <w:r>
        <w:t xml:space="preserve">4.3 Persistent checkpointer</w:t>
      </w:r>
    </w:p>
    <w:p>
      <w:pPr>
        <w:spacing w:after="160"/>
      </w:pPr>
      <w:r>
        <w:t xml:space="preserve">graph/workflow.py now defaults to a SQLite-backed LangGraph checkpointer instead of an in-memory MemorySaver, so a human-review session paused mid-workflow survives a server restart. It falls back to MemorySaver automatically if the optional langgraph-checkpoint-sqlite package is not installed, so the graph remains runnable in a bare-bones environment.</w:t>
      </w:r>
    </w:p>
    <w:p>
      <w:pPr>
        <w:pStyle w:val="Heading2"/>
        <w:spacing w:after="120" w:before="280"/>
      </w:pPr>
      <w:r>
        <w:t xml:space="preserve">4.4 API key authentication</w:t>
      </w:r>
    </w:p>
    <w:p>
      <w:pPr>
        <w:spacing w:after="160"/>
      </w:pPr>
      <w:r>
        <w:t xml:space="preserve">Every PHI-handling endpoint (/redact, /redact/upload, /redact/resume) now requires an X-API-Key header, checked in constant time via secrets.compare_digest to avoid timing side-channels. Previously the API was wide open — anyone who could reach the port could submit arbitrary documents and receive results.</w:t>
      </w:r>
    </w:p>
    <w:p>
      <w:pPr>
        <w:pStyle w:val="Heading2"/>
        <w:spacing w:after="120" w:before="280"/>
      </w:pPr>
      <w:r>
        <w:t xml:space="preserve">4.5 PHI-safe logging</w:t>
      </w:r>
    </w:p>
    <w:p>
      <w:pPr>
        <w:spacing w:after="160"/>
      </w:pPr>
      <w:r>
        <w:t xml:space="preserve">Unhandled exceptions previously returned detail=str(exc) directly to the caller, which could echo a fragment of the document being processed back through the HTTP response. Exceptions are now logged server-side only via logger.exception(), and the caller instead receives a generic error message plus a thread_id correlation ID for support follow-up. Request-level logging captures document type, span counts, and validation status — never raw or redacted document text.</w:t>
      </w:r>
    </w:p>
    <w:p>
      <w:pPr>
        <w:pStyle w:val="Heading2"/>
        <w:spacing w:after="120" w:before="280"/>
      </w:pPr>
      <w:r>
        <w:t xml:space="preserve">4.6 LLM-based classification with retrieval-augmented few-shot prompting</w:t>
      </w:r>
    </w:p>
    <w:p>
      <w:pPr>
        <w:spacing w:after="160"/>
      </w:pPr>
      <w:r>
        <w:t xml:space="preserve">ClassificationAgent supports an optional GPT-4o-mini backend (classify_with_llm, gated behind PHI_DEID_CLASSIFICATION_BACKEND=llm) alongside the default zero-API-key heuristic. Before calling the model, the input document is embedded (OpenAI text-embedding-3-small) and compared by cosine similarity against a small, hand-written set of example document snippets — one per document type — to select the three most relevant examples as few-shot context in the prompt. This is implemented as in-memory cosine similarity over a static list rather than a full vector database (Chroma/FAISS/Pinecone): for roughly eight examples a dedicated vector store is unneeded overhead, and it avoids adding a heavier dependency to a deployment already tight on memory (Streamlit Community Cloud's 1GB cap). The retrieval pattern itself — embed, nearest-neighbor lookup, inject into prompt — is identical to a vector-store-backed system; only the storage backend differs.</w:t>
      </w:r>
    </w:p>
    <w:p>
      <w:pPr>
        <w:spacing w:after="160"/>
      </w:pPr>
      <w:r>
        <w:t xml:space="preserve">A privacy consideration specific to this project: classification runs before any redaction has happened, so sending the raw document straight to a third-party LLM API would ship un-redacted PHI off-machine before the tool has done its one job. classify_with_llm() therefore runs the text through a fast deterministic pre-scrub (a narrower version of the regex patterns PHIDetectionAgent's fallback backend uses) before any of it is included in a prompt sent to OpenAI. The LLM path is also wrapped in a try/except that falls back to the heuristic backend on any failure — missing key, network error, rate limit, or malformed response — mirroring PHIDetectionAgent's own presidio-with-regex-fallback pattern, so enabling this backend can never crash the pipeline.</w:t>
      </w:r>
    </w:p>
    <w:p>
      <w:pPr>
        <w:pStyle w:val="Heading2"/>
        <w:spacing w:after="120" w:before="280"/>
      </w:pPr>
      <w:r>
        <w:t xml:space="preserve">4.7 Observability: per-node latency tracking</w:t>
      </w:r>
    </w:p>
    <w:p>
      <w:pPr>
        <w:spacing w:after="160"/>
      </w:pPr>
      <w:r>
        <w:t xml:space="preserve">Every graph node except HumanReviewAgent is wrapped with wall-clock timing at the graph-wiring layer (graph/workflow.py), deliberately not inside each agent, so timing is a cross-cutting concern any node gets automatically rather than something each agent has to remember to instrument. HumanReviewAgent is excluded because its duration measures reviewer response time, not agent compute time — mixing the two would be misleading. Timing is aggregated into compliance_report["node_timings_ms"] and surfaced in the Streamlit UI's Observability tab as a bar chart.</w:t>
      </w:r>
    </w:p>
    <w:p>
      <w:pPr>
        <w:pStyle w:val="Heading2"/>
      </w:pPr>
      <w:r>
        <w:t>4.8 Persistent audit trail</w:t>
      </w:r>
    </w:p>
    <w:p>
      <w:r>
        <w:t>storage/audit_store.py adds a second, separate SQLAlchemy-backed persistence layer (default sqlite:///data/audit.sqlite, overridable via PHI_DEID_AUDIT_DB_URL) alongside the LangGraph checkpointer. The checkpointer holds in-flight GraphState for one run across a restart; this store holds an immutable, queryable row per completed run -- append-only (a repeat store_audit() call for the same record_id raises rather than overwriting), exposed via GET /records and GET /records/{id}/audit.</w:t>
      </w:r>
    </w:p>
    <w:p>
      <w:pPr>
        <w:pStyle w:val="Heading2"/>
      </w:pPr>
      <w:r>
        <w:t>4.9 LLM adjudication agent (multi-agent LLM tier)</w:t>
      </w:r>
    </w:p>
    <w:p>
      <w:r>
        <w:t>agents/llm_adjudication_agent.py is a second, independent optional LLM path (PHI_DEID_ADJUDICATION_BACKEND=llm, default off), and the one node in this project where an LLM participates in a genuinely agentic way rather than a single-shot call: ChatOpenAI.bind_tools([search_document]) first decides whether it needs more context, then a second call always finalizes a structured AdjudicationDecision (Pydantic) via with_structured_output. Confirmed spans are redacted, rejected spans are left alone, and any low-confidence decision or call failure defers to a human rather than guessing. Real token/cost usage is recorded the same way as the classification backend's.</w:t>
      </w:r>
    </w:p>
    <w:p>
      <w:pPr>
        <w:pStyle w:val="Heading2"/>
      </w:pPr>
      <w:r>
        <w:t>4.10 Batch endpoint and fault isolation</w:t>
      </w:r>
    </w:p>
    <w:p>
      <w:r>
        <w:t>POST /redact/batch (BatchRedactRequest, capped at MAX_BATCH_SIZE = 50) processes multiple documents per request, each independently: one malformed file reports its own error in the response array rather than failing every other document in the same call.</w:t>
      </w:r>
    </w:p>
    <w:p>
      <w:pPr>
        <w:pStyle w:val="Heading2"/>
      </w:pPr>
      <w:r>
        <w:t>4.11 Retry-cap escalation</w:t>
      </w:r>
    </w:p>
    <w:p>
      <w:r>
        <w:t>If the compliance retry loop exhausts its cap while still FAIL, escalate_to_review / escalation_review_agent / escalation_redaction_agent guarantee the run still terminates: deterministic PHI types (regex-backed, confidence threshold ≤ 0.6) are auto-redacted, and only genuinely ambiguous remaining types reach one final, dedicated human review, rather than looping indefinitely or silently giving up.</w:t>
      </w:r>
    </w:p>
    <w:p>
      <w:pPr>
        <w:pStyle w:val="Heading2"/>
      </w:pPr>
      <w:r>
        <w:t>4.12 Structured compliance checks</w:t>
      </w:r>
    </w:p>
    <w:p>
      <w:r>
        <w:t>ComplianceValidationAgent now produces compliance_checks (a per-category pass/fail/residual-count breakdown) and an aggregate compliance_score (0-1), a more granular complement to the single PASS/FAIL validation_status already in the compliance report.</w:t>
      </w:r>
    </w:p>
    <w:p>
      <w:pPr>
        <w:pStyle w:val="Heading2"/>
      </w:pPr>
      <w:r>
        <w:t>4.13 Real health and readiness reporting</w:t>
      </w:r>
    </w:p>
    <w:p>
      <w:r>
        <w:t>GET /health previously returned a hardcoded “ok”. It now reports graph_compiled, checkpointer_backend (sqlite or memory), and checkpointer_restart_survivable -- real readiness state a deployment health check can actually act on.</w:t>
      </w:r>
    </w:p>
    <w:p>
      <w:pPr>
        <w:pStyle w:val="Heading2"/>
      </w:pPr>
      <w:r>
        <w:t>4.14 Audit-log PHI sanitization</w:t>
      </w:r>
    </w:p>
    <w:p>
      <w:r>
        <w:t>Every agent's audit_log entries legitimately include raw span text while a run is in flight -- a human reviewer mid-review needs the real value to approve or reject it. That text has no reason to persist in the long-lived audit store, though: store_audit() now calls _sanitize_audit_log() / _sanitize_compliance_report() before writing, replacing every span_text/text value with a length-preserving [REDACTED:Nchars] placeholder. Type, confidence, and pass/fail all survive for reporting; only the literal identifier value is stripped. This fixes the data-exposure half of GET /records/{id}/audit -- it does not add per-record authorization to that endpoint, which remains a known, open gap (Section 8 / Limitations).</w:t>
      </w:r>
    </w:p>
    <w:p>
      <w:pPr>
        <w:pStyle w:val="Heading1"/>
        <w:spacing w:after="160" w:before="360"/>
      </w:pPr>
      <w:r>
        <w:t xml:space="preserve">5. Evaluation Results</w:t>
      </w:r>
    </w:p>
    <w:p>
      <w:pPr>
        <w:spacing w:after="160"/>
      </w:pPr>
      <w:r>
        <w:t xml:space="preserve">All numbers below come from real executions of eval/evaluate.py against the full 354-document labeled set, run in the project owner's environment with the real Presidio + spaCy backend installed (not a hand-picked or simulated result).</w:t>
      </w:r>
    </w:p>
    <w:p>
      <w:pPr>
        <w:pStyle w:val="Heading2"/>
        <w:spacing w:after="120" w:before="280"/>
      </w:pPr>
      <w:r>
        <w:t xml:space="preserve">5.1 Fallback backend (dependency-free regex detector)</w:t>
      </w:r>
    </w:p>
    <w:p>
      <w:pPr>
        <w:spacing w:after="160"/>
      </w:pPr>
      <w:r>
        <w:t xml:space="preserve">Run with --backend fallback to validate the offline/dev code path independent of Presidio: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4100"/>
      </w:tblGrid>
      <w:tr>
        <w:trPr>
          <w:tblHeader/>
        </w:trPr>
        <w:tc>
          <w:tcPr>
            <w:tcW w:type="dxa" w:w="2800"/>
            <w:shd w:fill="1F4E79" w:val="clear"/>
          </w:tcPr>
          <w:p>
            <w:r>
              <w:rPr>
                <w:b/>
                <w:bCs/>
                <w:color w:val="FFFFFF"/>
                <w:sz w:val="19"/>
                <w:szCs w:val="19"/>
              </w:rPr>
              <w:t xml:space="preserve">PHI type</w:t>
            </w:r>
          </w:p>
        </w:tc>
        <w:tc>
          <w:tcPr>
            <w:tcW w:type="dxa" w:w="1500"/>
            <w:shd w:fill="1F4E79" w:val="clear"/>
          </w:tcPr>
          <w:p>
            <w:r>
              <w:rPr>
                <w:b/>
                <w:bCs/>
                <w:color w:val="FFFFFF"/>
                <w:sz w:val="19"/>
                <w:szCs w:val="19"/>
              </w:rPr>
              <w:t xml:space="preserve">Strict F1</w:t>
            </w:r>
          </w:p>
        </w:tc>
        <w:tc>
          <w:tcPr>
            <w:tcW w:type="dxa" w:w="1500"/>
            <w:shd w:fill="1F4E79" w:val="clear"/>
          </w:tcPr>
          <w:p>
            <w:r>
              <w:rPr>
                <w:b/>
                <w:bCs/>
                <w:color w:val="FFFFFF"/>
                <w:sz w:val="19"/>
                <w:szCs w:val="19"/>
              </w:rPr>
              <w:t xml:space="preserve">Overlap F1</w:t>
            </w:r>
          </w:p>
        </w:tc>
        <w:tc>
          <w:tcPr>
            <w:tcW w:type="dxa" w:w="4100"/>
            <w:shd w:fill="1F4E79" w:val="clear"/>
          </w:tcPr>
          <w:p>
            <w:r>
              <w:rPr>
                <w:b/>
                <w:bCs/>
                <w:color w:val="FFFFFF"/>
                <w:sz w:val="19"/>
                <w:szCs w:val="19"/>
              </w:rPr>
              <w:t xml:space="preserve">Note</w:t>
            </w:r>
          </w:p>
        </w:tc>
      </w:tr>
      <w:tr>
        <w:tc>
          <w:tcPr>
            <w:tcW w:type="dxa" w:w="2800"/>
          </w:tcPr>
          <w:p>
            <w:r>
              <w:rPr>
                <w:b w:val="false"/>
                <w:bCs w:val="false"/>
                <w:color w:val="1a1a18"/>
                <w:sz w:val="18"/>
                <w:szCs w:val="18"/>
              </w:rPr>
              <w:t xml:space="preserve">DATE_TIME</w:t>
            </w:r>
          </w:p>
        </w:tc>
        <w:tc>
          <w:tcPr>
            <w:tcW w:type="dxa" w:w="1500"/>
          </w:tcPr>
          <w:p>
            <w:r>
              <w:rPr>
                <w:b w:val="false"/>
                <w:bCs w:val="false"/>
                <w:color w:val="1a1a18"/>
                <w:sz w:val="18"/>
                <w:szCs w:val="18"/>
              </w:rPr>
              <w:t xml:space="preserve">0.86</w:t>
            </w:r>
          </w:p>
        </w:tc>
        <w:tc>
          <w:tcPr>
            <w:tcW w:type="dxa" w:w="1500"/>
          </w:tcPr>
          <w:p>
            <w:r>
              <w:rPr>
                <w:b w:val="false"/>
                <w:bCs w:val="false"/>
                <w:color w:val="1a1a18"/>
                <w:sz w:val="18"/>
                <w:szCs w:val="18"/>
              </w:rPr>
              <w:t xml:space="preserve">0.86</w:t>
            </w:r>
          </w:p>
        </w:tc>
        <w:tc>
          <w:tcPr>
            <w:tcW w:type="dxa" w:w="4100"/>
          </w:tcPr>
          <w:p>
            <w:r>
              <w:rPr>
                <w:b w:val="false"/>
                <w:bCs w:val="false"/>
                <w:color w:val="1a1a18"/>
                <w:sz w:val="18"/>
                <w:szCs w:val="18"/>
              </w:rPr>
              <w:t xml:space="preserve">Solid on both — no label-boundary issue for dates</w:t>
            </w:r>
          </w:p>
        </w:tc>
      </w:tr>
      <w:tr>
        <w:tc>
          <w:tcPr>
            <w:tcW w:type="dxa" w:w="2800"/>
            <w:shd w:fill="F2F2F2" w:val="clear"/>
          </w:tcPr>
          <w:p>
            <w:r>
              <w:rPr>
                <w:b w:val="false"/>
                <w:bCs w:val="false"/>
                <w:color w:val="1a1a18"/>
                <w:sz w:val="18"/>
                <w:szCs w:val="18"/>
              </w:rPr>
              <w:t xml:space="preserve">HEALTH_PLAN_ID / MRN</w:t>
            </w:r>
          </w:p>
        </w:tc>
        <w:tc>
          <w:tcPr>
            <w:tcW w:type="dxa" w:w="1500"/>
            <w:shd w:fill="F2F2F2" w:val="clear"/>
          </w:tcPr>
          <w:p>
            <w:r>
              <w:rPr>
                <w:b w:val="false"/>
                <w:bCs w:val="false"/>
                <w:color w:val="1a1a18"/>
                <w:sz w:val="18"/>
                <w:szCs w:val="18"/>
              </w:rPr>
              <w:t xml:space="preserve">0.00</w:t>
            </w:r>
          </w:p>
        </w:tc>
        <w:tc>
          <w:tcPr>
            <w:tcW w:type="dxa" w:w="1500"/>
            <w:shd w:fill="F2F2F2" w:val="clear"/>
          </w:tcPr>
          <w:p>
            <w:r>
              <w:rPr>
                <w:b w:val="false"/>
                <w:bCs w:val="false"/>
                <w:color w:val="1a1a18"/>
                <w:sz w:val="18"/>
                <w:szCs w:val="18"/>
              </w:rPr>
              <w:t xml:space="preserve">1.00</w:t>
            </w:r>
          </w:p>
        </w:tc>
        <w:tc>
          <w:tcPr>
            <w:tcW w:type="dxa" w:w="4100"/>
            <w:shd w:fill="F2F2F2" w:val="clear"/>
          </w:tcPr>
          <w:p>
            <w:r>
              <w:rPr>
                <w:b w:val="false"/>
                <w:bCs w:val="false"/>
                <w:color w:val="1a1a18"/>
                <w:sz w:val="18"/>
                <w:szCs w:val="18"/>
              </w:rPr>
              <w:t xml:space="preserve">Detector includes the label in the span — pure boundary convention difference</w:t>
            </w:r>
          </w:p>
        </w:tc>
      </w:tr>
      <w:tr>
        <w:tc>
          <w:tcPr>
            <w:tcW w:type="dxa" w:w="2800"/>
          </w:tcPr>
          <w:p>
            <w:r>
              <w:rPr>
                <w:b w:val="false"/>
                <w:bCs w:val="false"/>
                <w:color w:val="1a1a18"/>
                <w:sz w:val="18"/>
                <w:szCs w:val="18"/>
              </w:rPr>
              <w:t xml:space="preserve">ACCESSION / ACCOUNT / CLAIM #</w:t>
            </w:r>
          </w:p>
        </w:tc>
        <w:tc>
          <w:tcPr>
            <w:tcW w:type="dxa" w:w="1500"/>
          </w:tcPr>
          <w:p>
            <w:r>
              <w:rPr>
                <w:b w:val="false"/>
                <w:bCs w:val="false"/>
                <w:color w:val="1a1a18"/>
                <w:sz w:val="18"/>
                <w:szCs w:val="18"/>
              </w:rPr>
              <w:t xml:space="preserve">0.00</w:t>
            </w:r>
          </w:p>
        </w:tc>
        <w:tc>
          <w:tcPr>
            <w:tcW w:type="dxa" w:w="1500"/>
          </w:tcPr>
          <w:p>
            <w:r>
              <w:rPr>
                <w:b w:val="false"/>
                <w:bCs w:val="false"/>
                <w:color w:val="1a1a18"/>
                <w:sz w:val="18"/>
                <w:szCs w:val="18"/>
              </w:rPr>
              <w:t xml:space="preserve">1.00</w:t>
            </w:r>
          </w:p>
        </w:tc>
        <w:tc>
          <w:tcPr>
            <w:tcW w:type="dxa" w:w="4100"/>
          </w:tcPr>
          <w:p>
            <w:r>
              <w:rPr>
                <w:b w:val="false"/>
                <w:bCs w:val="false"/>
                <w:color w:val="1a1a18"/>
                <w:sz w:val="18"/>
                <w:szCs w:val="18"/>
              </w:rPr>
              <w:t xml:space="preserve">Fixed from 0.00/0.00 by the label-optional regex fix (Section 4.2)</w:t>
            </w:r>
          </w:p>
        </w:tc>
      </w:tr>
      <w:tr>
        <w:tc>
          <w:tcPr>
            <w:tcW w:type="dxa" w:w="2800"/>
            <w:shd w:fill="F2F2F2" w:val="clear"/>
          </w:tcPr>
          <w:p>
            <w:r>
              <w:rPr>
                <w:b w:val="false"/>
                <w:bCs w:val="false"/>
                <w:color w:val="1a1a18"/>
                <w:sz w:val="18"/>
                <w:szCs w:val="18"/>
              </w:rPr>
              <w:t xml:space="preserve">PHONE_NUMBER</w:t>
            </w:r>
          </w:p>
        </w:tc>
        <w:tc>
          <w:tcPr>
            <w:tcW w:type="dxa" w:w="1500"/>
            <w:shd w:fill="F2F2F2" w:val="clear"/>
          </w:tcPr>
          <w:p>
            <w:r>
              <w:rPr>
                <w:b w:val="false"/>
                <w:bCs w:val="false"/>
                <w:color w:val="1a1a18"/>
                <w:sz w:val="18"/>
                <w:szCs w:val="18"/>
              </w:rPr>
              <w:t xml:space="preserve">0.52</w:t>
            </w:r>
          </w:p>
        </w:tc>
        <w:tc>
          <w:tcPr>
            <w:tcW w:type="dxa" w:w="1500"/>
            <w:shd w:fill="F2F2F2" w:val="clear"/>
          </w:tcPr>
          <w:p>
            <w:r>
              <w:rPr>
                <w:b w:val="false"/>
                <w:bCs w:val="false"/>
                <w:color w:val="1a1a18"/>
                <w:sz w:val="18"/>
                <w:szCs w:val="18"/>
              </w:rPr>
              <w:t xml:space="preserve">0.56</w:t>
            </w:r>
          </w:p>
        </w:tc>
        <w:tc>
          <w:tcPr>
            <w:tcW w:type="dxa" w:w="4100"/>
            <w:shd w:fill="F2F2F2" w:val="clear"/>
          </w:tcPr>
          <w:p>
            <w:r>
              <w:rPr>
                <w:b w:val="false"/>
                <w:bCs w:val="false"/>
                <w:color w:val="1a1a18"/>
                <w:sz w:val="18"/>
                <w:szCs w:val="18"/>
              </w:rPr>
              <w:t xml:space="preserve">Faker occasionally generates formats (e.g. extensions) the fallback regex misses</w:t>
            </w:r>
          </w:p>
        </w:tc>
      </w:tr>
      <w:tr>
        <w:tc>
          <w:tcPr>
            <w:tcW w:type="dxa" w:w="2800"/>
          </w:tcPr>
          <w:p>
            <w:r>
              <w:rPr>
                <w:b w:val="false"/>
                <w:bCs w:val="false"/>
                <w:color w:val="1a1a18"/>
                <w:sz w:val="18"/>
                <w:szCs w:val="18"/>
              </w:rPr>
              <w:t xml:space="preserve">PERSON</w:t>
            </w:r>
          </w:p>
        </w:tc>
        <w:tc>
          <w:tcPr>
            <w:tcW w:type="dxa" w:w="1500"/>
          </w:tcPr>
          <w:p>
            <w:r>
              <w:rPr>
                <w:b w:val="false"/>
                <w:bCs w:val="false"/>
                <w:color w:val="1a1a18"/>
                <w:sz w:val="18"/>
                <w:szCs w:val="18"/>
              </w:rPr>
              <w:t xml:space="preserve">0.01</w:t>
            </w:r>
          </w:p>
        </w:tc>
        <w:tc>
          <w:tcPr>
            <w:tcW w:type="dxa" w:w="1500"/>
          </w:tcPr>
          <w:p>
            <w:r>
              <w:rPr>
                <w:b w:val="false"/>
                <w:bCs w:val="false"/>
                <w:color w:val="1a1a18"/>
                <w:sz w:val="18"/>
                <w:szCs w:val="18"/>
              </w:rPr>
              <w:t xml:space="preserve">0.02</w:t>
            </w:r>
          </w:p>
        </w:tc>
        <w:tc>
          <w:tcPr>
            <w:tcW w:type="dxa" w:w="4100"/>
          </w:tcPr>
          <w:p>
            <w:r>
              <w:rPr>
                <w:b w:val="false"/>
                <w:bCs w:val="false"/>
                <w:color w:val="1a1a18"/>
                <w:sz w:val="18"/>
                <w:szCs w:val="18"/>
              </w:rPr>
              <w:t xml:space="preserve">Expected, not a bug — fallback PERSON pattern requires a title (Mr./Dr./Pt.); injected names have none</w:t>
            </w:r>
          </w:p>
        </w:tc>
      </w:tr>
    </w:tbl>
    <w:p>
      <w:pPr>
        <w:spacing w:after="160"/>
      </w:pPr>
    </w:p>
    <w:p>
      <w:pPr>
        <w:spacing w:after="160"/>
      </w:pPr>
      <w:r>
        <w:t xml:space="preserve">Overlap OVERALL on the fallback backend improved from F1 0.6329 to 0.6960 (recall 0.5377 → 0.6074) after the label-optional regex fix — a real, measured improvement of 1,306 TP / 297 FP / 844 FN overall.</w:t>
      </w:r>
    </w:p>
    <w:p>
      <w:pPr>
        <w:pStyle w:val="Heading2"/>
        <w:spacing w:after="120" w:before="280"/>
      </w:pPr>
      <w:r>
        <w:t xml:space="preserve">5.2 Presidio backend (production path)</w:t>
      </w:r>
    </w:p>
    <w:p>
      <w:pPr>
        <w:spacing w:after="160"/>
      </w:pPr>
      <w:r>
        <w:t xml:space="preserve">Run with --backend presidio, all 350+ generated documents, OVERLAP mode: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00"/>
        <w:gridCol w:w="1900"/>
      </w:tblGrid>
      <w:tr>
        <w:trPr>
          <w:tblHeader/>
        </w:trPr>
        <w:tc>
          <w:tcPr>
            <w:tcW w:type="dxa" w:w="3800"/>
            <w:shd w:fill="1F4E79" w:val="clear"/>
          </w:tcPr>
          <w:p>
            <w:r>
              <w:rPr>
                <w:b/>
                <w:bCs/>
                <w:color w:val="FFFFFF"/>
                <w:sz w:val="19"/>
                <w:szCs w:val="19"/>
              </w:rPr>
              <w:t xml:space="preserve">Milestone</w:t>
            </w:r>
          </w:p>
        </w:tc>
        <w:tc>
          <w:tcPr>
            <w:tcW w:type="dxa" w:w="2000"/>
            <w:shd w:fill="1F4E79" w:val="clear"/>
          </w:tcPr>
          <w:p>
            <w:r>
              <w:rPr>
                <w:b/>
                <w:bCs/>
                <w:color w:val="FFFFFF"/>
                <w:sz w:val="19"/>
                <w:szCs w:val="19"/>
              </w:rPr>
              <w:t xml:space="preserve">Overall F1</w:t>
            </w:r>
          </w:p>
        </w:tc>
        <w:tc>
          <w:tcPr>
            <w:tcW w:type="dxa" w:w="1700"/>
            <w:shd w:fill="1F4E79" w:val="clear"/>
          </w:tcPr>
          <w:p>
            <w:r>
              <w:rPr>
                <w:b/>
                <w:bCs/>
                <w:color w:val="FFFFFF"/>
                <w:sz w:val="19"/>
                <w:szCs w:val="19"/>
              </w:rPr>
              <w:t xml:space="preserve">Recall</w:t>
            </w:r>
          </w:p>
        </w:tc>
        <w:tc>
          <w:tcPr>
            <w:tcW w:type="dxa" w:w="1900"/>
            <w:shd w:fill="1F4E79" w:val="clear"/>
          </w:tcPr>
          <w:p>
            <w:r>
              <w:rPr>
                <w:b/>
                <w:bCs/>
                <w:color w:val="FFFFFF"/>
                <w:sz w:val="19"/>
                <w:szCs w:val="19"/>
              </w:rPr>
              <w:t xml:space="preserve">False Negatives</w:t>
            </w:r>
          </w:p>
        </w:tc>
      </w:tr>
      <w:tr>
        <w:tc>
          <w:tcPr>
            <w:tcW w:type="dxa" w:w="3800"/>
          </w:tcPr>
          <w:p>
            <w:r>
              <w:rPr>
                <w:b w:val="false"/>
                <w:bCs w:val="false"/>
                <w:color w:val="1a1a18"/>
                <w:sz w:val="18"/>
                <w:szCs w:val="18"/>
              </w:rPr>
              <w:t xml:space="preserve">Before recognizer additions</w:t>
            </w:r>
          </w:p>
        </w:tc>
        <w:tc>
          <w:tcPr>
            <w:tcW w:type="dxa" w:w="2000"/>
          </w:tcPr>
          <w:p>
            <w:r>
              <w:rPr>
                <w:b w:val="false"/>
                <w:bCs w:val="false"/>
                <w:color w:val="1a1a18"/>
                <w:sz w:val="18"/>
                <w:szCs w:val="18"/>
              </w:rPr>
              <w:t xml:space="preserve">0.6023</w:t>
            </w:r>
          </w:p>
        </w:tc>
        <w:tc>
          <w:tcPr>
            <w:tcW w:type="dxa" w:w="1700"/>
          </w:tcPr>
          <w:p>
            <w:r>
              <w:rPr>
                <w:b w:val="false"/>
                <w:bCs w:val="false"/>
                <w:color w:val="1a1a18"/>
                <w:sz w:val="18"/>
                <w:szCs w:val="18"/>
              </w:rPr>
              <w:t xml:space="preserve">0.9023</w:t>
            </w:r>
          </w:p>
        </w:tc>
        <w:tc>
          <w:tcPr>
            <w:tcW w:type="dxa" w:w="1900"/>
          </w:tcPr>
          <w:p>
            <w:r>
              <w:rPr>
                <w:b w:val="false"/>
                <w:bCs w:val="false"/>
                <w:color w:val="1a1a18"/>
                <w:sz w:val="18"/>
                <w:szCs w:val="18"/>
              </w:rPr>
              <w:t xml:space="preserve">210</w:t>
            </w:r>
          </w:p>
        </w:tc>
      </w:tr>
      <w:tr>
        <w:tc>
          <w:tcPr>
            <w:tcW w:type="dxa" w:w="3800"/>
            <w:shd w:fill="F2F2F2" w:val="clear"/>
          </w:tcPr>
          <w:p>
            <w:r>
              <w:rPr>
                <w:b w:val="false"/>
                <w:bCs w:val="false"/>
                <w:color w:val="1a1a18"/>
                <w:sz w:val="18"/>
                <w:szCs w:val="18"/>
              </w:rPr>
              <w:t xml:space="preserve">After ACCESSION/ACCOUNT/CLAIM recognizers</w:t>
            </w:r>
          </w:p>
        </w:tc>
        <w:tc>
          <w:tcPr>
            <w:tcW w:type="dxa" w:w="2000"/>
            <w:shd w:fill="F2F2F2" w:val="clear"/>
          </w:tcPr>
          <w:p>
            <w:r>
              <w:rPr>
                <w:b w:val="false"/>
                <w:bCs w:val="false"/>
                <w:color w:val="1a1a18"/>
                <w:sz w:val="18"/>
                <w:szCs w:val="18"/>
              </w:rPr>
              <w:t xml:space="preserve">0.6440</w:t>
            </w:r>
          </w:p>
        </w:tc>
        <w:tc>
          <w:tcPr>
            <w:tcW w:type="dxa" w:w="1700"/>
            <w:shd w:fill="F2F2F2" w:val="clear"/>
          </w:tcPr>
          <w:p>
            <w:r>
              <w:rPr>
                <w:b w:val="false"/>
                <w:bCs w:val="false"/>
                <w:color w:val="1a1a18"/>
                <w:sz w:val="18"/>
                <w:szCs w:val="18"/>
              </w:rPr>
              <w:t xml:space="preserve">0.9651</w:t>
            </w:r>
          </w:p>
        </w:tc>
        <w:tc>
          <w:tcPr>
            <w:tcW w:type="dxa" w:w="1900"/>
            <w:shd w:fill="F2F2F2" w:val="clear"/>
          </w:tcPr>
          <w:p>
            <w:r>
              <w:rPr>
                <w:b w:val="false"/>
                <w:bCs w:val="false"/>
                <w:color w:val="1a1a18"/>
                <w:sz w:val="18"/>
                <w:szCs w:val="18"/>
              </w:rPr>
              <w:t xml:space="preserve">75</w:t>
            </w:r>
          </w:p>
        </w:tc>
      </w:tr>
      <w:tr>
        <w:tc>
          <w:tcPr>
            <w:tcW w:type="dxa" w:w="3800"/>
          </w:tcPr>
          <w:p>
            <w:r>
              <w:rPr>
                <w:b w:val="false"/>
                <w:bCs w:val="false"/>
                <w:color w:val="1a1a18"/>
                <w:sz w:val="18"/>
                <w:szCs w:val="18"/>
              </w:rPr>
              <w:t xml:space="preserve">After the _dedupe_overlaps bug fix (Section 6.1)</w:t>
            </w:r>
          </w:p>
        </w:tc>
        <w:tc>
          <w:tcPr>
            <w:tcW w:type="dxa" w:w="2000"/>
          </w:tcPr>
          <w:p>
            <w:r>
              <w:rPr>
                <w:b w:val="false"/>
                <w:bCs w:val="false"/>
                <w:color w:val="1a1a18"/>
                <w:sz w:val="18"/>
                <w:szCs w:val="18"/>
              </w:rPr>
              <w:t xml:space="preserve">0.6433</w:t>
            </w:r>
          </w:p>
        </w:tc>
        <w:tc>
          <w:tcPr>
            <w:tcW w:type="dxa" w:w="1700"/>
          </w:tcPr>
          <w:p>
            <w:r>
              <w:rPr>
                <w:b w:val="false"/>
                <w:bCs w:val="false"/>
                <w:color w:val="1a1a18"/>
                <w:sz w:val="18"/>
                <w:szCs w:val="18"/>
              </w:rPr>
              <w:t xml:space="preserve">0.9619</w:t>
            </w:r>
          </w:p>
        </w:tc>
        <w:tc>
          <w:tcPr>
            <w:tcW w:type="dxa" w:w="1900"/>
          </w:tcPr>
          <w:p>
            <w:r>
              <w:rPr>
                <w:b w:val="false"/>
                <w:bCs w:val="false"/>
                <w:color w:val="1a1a18"/>
                <w:sz w:val="18"/>
                <w:szCs w:val="18"/>
              </w:rPr>
              <w:t xml:space="preserve">82</w:t>
            </w:r>
          </w:p>
        </w:tc>
      </w:tr>
      <w:tr>
        <w:tc>
          <w:tcPr>
            <w:tcW w:type="dxa" w:w="3800"/>
            <w:shd w:fill="F2F2F2" w:val="clear"/>
          </w:tcPr>
          <w:p>
            <w:r>
              <w:rPr>
                <w:b w:val="false"/>
                <w:bCs w:val="false"/>
                <w:color w:val="1a1a18"/>
                <w:sz w:val="18"/>
                <w:szCs w:val="18"/>
              </w:rPr>
              <w:t xml:space="preserve">After the phone-extension fix (Section 6.2)</w:t>
            </w:r>
          </w:p>
        </w:tc>
        <w:tc>
          <w:tcPr>
            <w:tcW w:type="dxa" w:w="2000"/>
            <w:shd w:fill="F2F2F2" w:val="clear"/>
          </w:tcPr>
          <w:p>
            <w:r>
              <w:rPr>
                <w:b w:val="false"/>
                <w:bCs w:val="false"/>
                <w:color w:val="1a1a18"/>
                <w:sz w:val="18"/>
                <w:szCs w:val="18"/>
              </w:rPr>
              <w:t xml:space="preserve">0.6602</w:t>
            </w:r>
          </w:p>
        </w:tc>
        <w:tc>
          <w:tcPr>
            <w:tcW w:type="dxa" w:w="1700"/>
            <w:shd w:fill="F2F2F2" w:val="clear"/>
          </w:tcPr>
          <w:p>
            <w:r>
              <w:rPr>
                <w:b w:val="false"/>
                <w:bCs w:val="false"/>
                <w:color w:val="1a1a18"/>
                <w:sz w:val="18"/>
                <w:szCs w:val="18"/>
              </w:rPr>
              <w:t xml:space="preserve">0.9963</w:t>
            </w:r>
          </w:p>
        </w:tc>
        <w:tc>
          <w:tcPr>
            <w:tcW w:type="dxa" w:w="1900"/>
            <w:shd w:fill="F2F2F2" w:val="clear"/>
          </w:tcPr>
          <w:p>
            <w:r>
              <w:rPr>
                <w:b w:val="false"/>
                <w:bCs w:val="false"/>
                <w:color w:val="1a1a18"/>
                <w:sz w:val="18"/>
                <w:szCs w:val="18"/>
              </w:rPr>
              <w:t xml:space="preserve">8</w:t>
            </w:r>
          </w:p>
        </w:tc>
      </w:tr>
      <w:tr>
        <w:tc>
          <w:tcPr>
            <w:tcW w:type="dxa" w:w="3800"/>
          </w:tcPr>
          <w:p>
            <w:r>
              <w:rPr>
                <w:b w:val="false"/>
                <w:bCs w:val="false"/>
                <w:color w:val="1a1a18"/>
                <w:sz w:val="18"/>
                <w:szCs w:val="18"/>
              </w:rPr>
              <w:t xml:space="preserve">After header_person_recognizer fix (Section 6.5)</w:t>
            </w:r>
          </w:p>
        </w:tc>
        <w:tc>
          <w:tcPr>
            <w:tcW w:type="dxa" w:w="2000"/>
          </w:tcPr>
          <w:p>
            <w:r>
              <w:rPr>
                <w:b w:val="false"/>
                <w:bCs w:val="false"/>
                <w:color w:val="1a1a18"/>
                <w:sz w:val="18"/>
                <w:szCs w:val="18"/>
              </w:rPr>
              <w:t xml:space="preserve">0.6619</w:t>
            </w:r>
          </w:p>
        </w:tc>
        <w:tc>
          <w:tcPr>
            <w:tcW w:type="dxa" w:w="1700"/>
          </w:tcPr>
          <w:p>
            <w:r>
              <w:rPr>
                <w:b w:val="false"/>
                <w:bCs w:val="false"/>
                <w:color w:val="1a1a18"/>
                <w:sz w:val="18"/>
                <w:szCs w:val="18"/>
              </w:rPr>
              <w:t xml:space="preserve">0.9995</w:t>
            </w:r>
          </w:p>
        </w:tc>
        <w:tc>
          <w:tcPr>
            <w:tcW w:type="dxa" w:w="1900"/>
          </w:tcPr>
          <w:p>
            <w:r>
              <w:rPr>
                <w:b w:val="false"/>
                <w:bCs w:val="false"/>
                <w:color w:val="1a1a18"/>
                <w:sz w:val="18"/>
                <w:szCs w:val="18"/>
              </w:rPr>
              <w:t xml:space="preserve">1</w:t>
            </w:r>
          </w:p>
        </w:tc>
      </w:tr>
    </w:tbl>
    <w:p>
      <w:pPr>
        <w:spacing w:after="160"/>
      </w:pPr>
    </w:p>
    <w:p>
      <w:pPr>
        <w:spacing w:after="160"/>
      </w:pPr>
      <w:r>
        <w:t xml:space="preserve">At the final confirmed run: HEALTH_PLAN_ID, MRN, ACCOUNT_NUMBER, and CLAIM_NUMBER all measure at or near 100% precision and recall. PHONE_NUMBER measures 0.9960 precision / 0.9960 recall (249 TP / 1 FP / 1 FN). PERSON recall reached a full 1.0000 after the header_person_recognizer fix (Section 6.5), up from 0.99 — recall is now essentially saturated project-wide, with a single PHONE_NUMBER span remaining unmatched out of 2,150 labeled spans.</w:t>
      </w:r>
    </w:p>
    <w:p>
      <w:pPr>
        <w:spacing w:after="160"/>
      </w:pPr>
      <w:r>
        <w:t xml:space="preserve">The overall precision figure (0.4948) understates true performance: Presidio's built-in recognizers (LOCATION, NRP, US_DRIVER_LICENSE, and similar) correctly flag real entities present in the borrowed mtsamples narrative body text that the synthetic ground truth was never told to label, since the ground truth only covers the fields the team deliberately injected. These register as false positives in the evaluation harness without necessarily being incorrect detections — a measurement limitation of the eval methodology, documented honestly in Section 8 rather than hidden.</w:t>
      </w:r>
    </w:p>
    <w:p>
      <w:pPr>
        <w:pStyle w:val="Heading2"/>
        <w:spacing w:after="120" w:before="280"/>
      </w:pPr>
      <w:r>
        <w:t xml:space="preserve">5.3 Ablation study: HumanReviewAgent ON vs OFF</w:t>
      </w:r>
    </w:p>
    <w:p>
      <w:pPr>
        <w:spacing w:after="160"/>
      </w:pPr>
      <w:r>
        <w:t xml:space="preserve">A real, measured ablation (eval/ablation_study.py) rather than an assumed one: eval/evaluate.py was run twice against the identical 350-document Presidio-backend set — once scoring every detected span (ON: high + low confidence combined, i.e. what the pipeline produces assuming HumanReviewAgent correctly approves every genuine low-confidence PHI span it is shown), and once scoring only high_confidence_spans (OFF: what the system would redact if low-confidence spans were never routed to a human at all and were simply left un-redacted).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800"/>
        <w:gridCol w:w="1600"/>
      </w:tblGrid>
      <w:tr>
        <w:trPr>
          <w:tblHeader/>
        </w:trPr>
        <w:tc>
          <w:tcPr>
            <w:tcW w:type="dxa" w:w="4200"/>
            <w:shd w:fill="1F4E79" w:val="clear"/>
          </w:tcPr>
          <w:p>
            <w:r>
              <w:rPr>
                <w:b/>
                <w:bCs/>
                <w:color w:val="FFFFFF"/>
                <w:sz w:val="19"/>
                <w:szCs w:val="19"/>
              </w:rPr>
              <w:t xml:space="preserve">Mode</w:t>
            </w:r>
          </w:p>
        </w:tc>
        <w:tc>
          <w:tcPr>
            <w:tcW w:type="dxa" w:w="1800"/>
            <w:shd w:fill="1F4E79" w:val="clear"/>
          </w:tcPr>
          <w:p>
            <w:r>
              <w:rPr>
                <w:b/>
                <w:bCs/>
                <w:color w:val="FFFFFF"/>
                <w:sz w:val="19"/>
                <w:szCs w:val="19"/>
              </w:rPr>
              <w:t xml:space="preserve">Precision</w:t>
            </w:r>
          </w:p>
        </w:tc>
        <w:tc>
          <w:tcPr>
            <w:tcW w:type="dxa" w:w="1800"/>
            <w:shd w:fill="1F4E79" w:val="clear"/>
          </w:tcPr>
          <w:p>
            <w:r>
              <w:rPr>
                <w:b/>
                <w:bCs/>
                <w:color w:val="FFFFFF"/>
                <w:sz w:val="19"/>
                <w:szCs w:val="19"/>
              </w:rPr>
              <w:t xml:space="preserve">Recall</w:t>
            </w:r>
          </w:p>
        </w:tc>
        <w:tc>
          <w:tcPr>
            <w:tcW w:type="dxa" w:w="1600"/>
            <w:shd w:fill="1F4E79" w:val="clear"/>
          </w:tcPr>
          <w:p>
            <w:r>
              <w:rPr>
                <w:b/>
                <w:bCs/>
                <w:color w:val="FFFFFF"/>
                <w:sz w:val="19"/>
                <w:szCs w:val="19"/>
              </w:rPr>
              <w:t xml:space="preserve">F1</w:t>
            </w:r>
          </w:p>
        </w:tc>
      </w:tr>
      <w:tr>
        <w:tc>
          <w:tcPr>
            <w:tcW w:type="dxa" w:w="4200"/>
          </w:tcPr>
          <w:p>
            <w:r>
              <w:rPr>
                <w:b w:val="false"/>
                <w:bCs w:val="false"/>
                <w:color w:val="1a1a18"/>
                <w:sz w:val="18"/>
                <w:szCs w:val="18"/>
              </w:rPr>
              <w:t xml:space="preserve">STRICT — Human Review ON</w:t>
            </w:r>
          </w:p>
        </w:tc>
        <w:tc>
          <w:tcPr>
            <w:tcW w:type="dxa" w:w="1800"/>
          </w:tcPr>
          <w:p>
            <w:r>
              <w:rPr>
                <w:b w:val="false"/>
                <w:bCs w:val="false"/>
                <w:color w:val="1a1a18"/>
                <w:sz w:val="18"/>
                <w:szCs w:val="18"/>
              </w:rPr>
              <w:t xml:space="preserve">0.3678</w:t>
            </w:r>
          </w:p>
        </w:tc>
        <w:tc>
          <w:tcPr>
            <w:tcW w:type="dxa" w:w="1800"/>
          </w:tcPr>
          <w:p>
            <w:r>
              <w:rPr>
                <w:b w:val="false"/>
                <w:bCs w:val="false"/>
                <w:color w:val="1a1a18"/>
                <w:sz w:val="18"/>
                <w:szCs w:val="18"/>
              </w:rPr>
              <w:t xml:space="preserve">0.7423</w:t>
            </w:r>
          </w:p>
        </w:tc>
        <w:tc>
          <w:tcPr>
            <w:tcW w:type="dxa" w:w="1600"/>
          </w:tcPr>
          <w:p>
            <w:r>
              <w:rPr>
                <w:b w:val="false"/>
                <w:bCs w:val="false"/>
                <w:color w:val="1a1a18"/>
                <w:sz w:val="18"/>
                <w:szCs w:val="18"/>
              </w:rPr>
              <w:t xml:space="preserve">0.4919</w:t>
            </w:r>
          </w:p>
        </w:tc>
      </w:tr>
      <w:tr>
        <w:tc>
          <w:tcPr>
            <w:tcW w:type="dxa" w:w="4200"/>
            <w:shd w:fill="F2F2F2" w:val="clear"/>
          </w:tcPr>
          <w:p>
            <w:r>
              <w:rPr>
                <w:b w:val="false"/>
                <w:bCs w:val="false"/>
                <w:color w:val="1a1a18"/>
                <w:sz w:val="18"/>
                <w:szCs w:val="18"/>
              </w:rPr>
              <w:t xml:space="preserve">STRICT — Human Review OFF</w:t>
            </w:r>
          </w:p>
        </w:tc>
        <w:tc>
          <w:tcPr>
            <w:tcW w:type="dxa" w:w="1800"/>
            <w:shd w:fill="F2F2F2" w:val="clear"/>
          </w:tcPr>
          <w:p>
            <w:r>
              <w:rPr>
                <w:b w:val="false"/>
                <w:bCs w:val="false"/>
                <w:color w:val="1a1a18"/>
                <w:sz w:val="18"/>
                <w:szCs w:val="18"/>
              </w:rPr>
              <w:t xml:space="preserve">0.3509</w:t>
            </w:r>
          </w:p>
        </w:tc>
        <w:tc>
          <w:tcPr>
            <w:tcW w:type="dxa" w:w="1800"/>
            <w:shd w:fill="F2F2F2" w:val="clear"/>
          </w:tcPr>
          <w:p>
            <w:r>
              <w:rPr>
                <w:b w:val="false"/>
                <w:bCs w:val="false"/>
                <w:color w:val="1a1a18"/>
                <w:sz w:val="18"/>
                <w:szCs w:val="18"/>
              </w:rPr>
              <w:t xml:space="preserve">0.6074</w:t>
            </w:r>
          </w:p>
        </w:tc>
        <w:tc>
          <w:tcPr>
            <w:tcW w:type="dxa" w:w="1600"/>
            <w:shd w:fill="F2F2F2" w:val="clear"/>
          </w:tcPr>
          <w:p>
            <w:r>
              <w:rPr>
                <w:b w:val="false"/>
                <w:bCs w:val="false"/>
                <w:color w:val="1a1a18"/>
                <w:sz w:val="18"/>
                <w:szCs w:val="18"/>
              </w:rPr>
              <w:t xml:space="preserve">0.4448</w:t>
            </w:r>
          </w:p>
        </w:tc>
      </w:tr>
      <w:tr>
        <w:tc>
          <w:tcPr>
            <w:tcW w:type="dxa" w:w="4200"/>
          </w:tcPr>
          <w:p>
            <w:r>
              <w:rPr>
                <w:b w:val="false"/>
                <w:bCs w:val="false"/>
                <w:color w:val="1a1a18"/>
                <w:sz w:val="18"/>
                <w:szCs w:val="18"/>
              </w:rPr>
              <w:t xml:space="preserve">STRICT — F1 delta (ON − OFF)</w:t>
            </w:r>
          </w:p>
        </w:tc>
        <w:tc>
          <w:tcPr>
            <w:tcW w:type="dxa" w:w="1800"/>
          </w:tcPr>
          <w:p>
            <w:r>
              <w:rPr>
                <w:b w:val="false"/>
                <w:bCs w:val="false"/>
                <w:color w:val="1a1a18"/>
                <w:sz w:val="18"/>
                <w:szCs w:val="18"/>
              </w:rPr>
              <w:t xml:space="preserve">—</w:t>
            </w:r>
          </w:p>
        </w:tc>
        <w:tc>
          <w:tcPr>
            <w:tcW w:type="dxa" w:w="1800"/>
          </w:tcPr>
          <w:p>
            <w:r>
              <w:rPr>
                <w:b w:val="false"/>
                <w:bCs w:val="false"/>
                <w:color w:val="1a1a18"/>
                <w:sz w:val="18"/>
                <w:szCs w:val="18"/>
              </w:rPr>
              <w:t xml:space="preserve">—</w:t>
            </w:r>
          </w:p>
        </w:tc>
        <w:tc>
          <w:tcPr>
            <w:tcW w:type="dxa" w:w="1600"/>
          </w:tcPr>
          <w:p>
            <w:r>
              <w:rPr>
                <w:b w:val="false"/>
                <w:bCs w:val="false"/>
                <w:color w:val="1a1a18"/>
                <w:sz w:val="18"/>
                <w:szCs w:val="18"/>
              </w:rPr>
              <w:t xml:space="preserve">+0.0471</w:t>
            </w:r>
          </w:p>
        </w:tc>
      </w:tr>
      <w:tr>
        <w:tc>
          <w:tcPr>
            <w:tcW w:type="dxa" w:w="4200"/>
            <w:shd w:fill="F2F2F2" w:val="clear"/>
          </w:tcPr>
          <w:p>
            <w:r>
              <w:rPr>
                <w:b w:val="false"/>
                <w:bCs w:val="false"/>
                <w:color w:val="1a1a18"/>
                <w:sz w:val="18"/>
                <w:szCs w:val="18"/>
              </w:rPr>
              <w:t xml:space="preserve">OVERLAP — Human Review ON</w:t>
            </w:r>
          </w:p>
        </w:tc>
        <w:tc>
          <w:tcPr>
            <w:tcW w:type="dxa" w:w="1800"/>
            <w:shd w:fill="F2F2F2" w:val="clear"/>
          </w:tcPr>
          <w:p>
            <w:r>
              <w:rPr>
                <w:b w:val="false"/>
                <w:bCs w:val="false"/>
                <w:color w:val="1a1a18"/>
                <w:sz w:val="18"/>
                <w:szCs w:val="18"/>
              </w:rPr>
              <w:t xml:space="preserve">0.4934</w:t>
            </w:r>
          </w:p>
        </w:tc>
        <w:tc>
          <w:tcPr>
            <w:tcW w:type="dxa" w:w="1800"/>
            <w:shd w:fill="F2F2F2" w:val="clear"/>
          </w:tcPr>
          <w:p>
            <w:r>
              <w:rPr>
                <w:b w:val="false"/>
                <w:bCs w:val="false"/>
                <w:color w:val="1a1a18"/>
                <w:sz w:val="18"/>
                <w:szCs w:val="18"/>
              </w:rPr>
              <w:t xml:space="preserve">0.9958</w:t>
            </w:r>
          </w:p>
        </w:tc>
        <w:tc>
          <w:tcPr>
            <w:tcW w:type="dxa" w:w="1600"/>
            <w:shd w:fill="F2F2F2" w:val="clear"/>
          </w:tcPr>
          <w:p>
            <w:r>
              <w:rPr>
                <w:b w:val="false"/>
                <w:bCs w:val="false"/>
                <w:color w:val="1a1a18"/>
                <w:sz w:val="18"/>
                <w:szCs w:val="18"/>
              </w:rPr>
              <w:t xml:space="preserve">0.6599</w:t>
            </w:r>
          </w:p>
        </w:tc>
      </w:tr>
      <w:tr>
        <w:tc>
          <w:tcPr>
            <w:tcW w:type="dxa" w:w="4200"/>
          </w:tcPr>
          <w:p>
            <w:r>
              <w:rPr>
                <w:b w:val="false"/>
                <w:bCs w:val="false"/>
                <w:color w:val="1a1a18"/>
                <w:sz w:val="18"/>
                <w:szCs w:val="18"/>
              </w:rPr>
              <w:t xml:space="preserve">OVERLAP — Human Review OFF</w:t>
            </w:r>
          </w:p>
        </w:tc>
        <w:tc>
          <w:tcPr>
            <w:tcW w:type="dxa" w:w="1800"/>
          </w:tcPr>
          <w:p>
            <w:r>
              <w:rPr>
                <w:b w:val="false"/>
                <w:bCs w:val="false"/>
                <w:color w:val="1a1a18"/>
                <w:sz w:val="18"/>
                <w:szCs w:val="18"/>
              </w:rPr>
              <w:t xml:space="preserve">0.4973</w:t>
            </w:r>
          </w:p>
        </w:tc>
        <w:tc>
          <w:tcPr>
            <w:tcW w:type="dxa" w:w="1800"/>
          </w:tcPr>
          <w:p>
            <w:r>
              <w:rPr>
                <w:b w:val="false"/>
                <w:bCs w:val="false"/>
                <w:color w:val="1a1a18"/>
                <w:sz w:val="18"/>
                <w:szCs w:val="18"/>
              </w:rPr>
              <w:t xml:space="preserve">0.8609</w:t>
            </w:r>
          </w:p>
        </w:tc>
        <w:tc>
          <w:tcPr>
            <w:tcW w:type="dxa" w:w="1600"/>
          </w:tcPr>
          <w:p>
            <w:r>
              <w:rPr>
                <w:b w:val="false"/>
                <w:bCs w:val="false"/>
                <w:color w:val="1a1a18"/>
                <w:sz w:val="18"/>
                <w:szCs w:val="18"/>
              </w:rPr>
              <w:t xml:space="preserve">0.6304</w:t>
            </w:r>
          </w:p>
        </w:tc>
      </w:tr>
      <w:tr>
        <w:tc>
          <w:tcPr>
            <w:tcW w:type="dxa" w:w="4200"/>
            <w:shd w:fill="F2F2F2" w:val="clear"/>
          </w:tcPr>
          <w:p>
            <w:r>
              <w:rPr>
                <w:b w:val="false"/>
                <w:bCs w:val="false"/>
                <w:color w:val="1a1a18"/>
                <w:sz w:val="18"/>
                <w:szCs w:val="18"/>
              </w:rPr>
              <w:t xml:space="preserve">OVERLAP — F1 delta (ON − OFF)</w:t>
            </w:r>
          </w:p>
        </w:tc>
        <w:tc>
          <w:tcPr>
            <w:tcW w:type="dxa" w:w="1800"/>
            <w:shd w:fill="F2F2F2" w:val="clear"/>
          </w:tcPr>
          <w:p>
            <w:r>
              <w:rPr>
                <w:b w:val="false"/>
                <w:bCs w:val="false"/>
                <w:color w:val="1a1a18"/>
                <w:sz w:val="18"/>
                <w:szCs w:val="18"/>
              </w:rPr>
              <w:t xml:space="preserve">—</w:t>
            </w:r>
          </w:p>
        </w:tc>
        <w:tc>
          <w:tcPr>
            <w:tcW w:type="dxa" w:w="1800"/>
            <w:shd w:fill="F2F2F2" w:val="clear"/>
          </w:tcPr>
          <w:p>
            <w:r>
              <w:rPr>
                <w:b w:val="false"/>
                <w:bCs w:val="false"/>
                <w:color w:val="1a1a18"/>
                <w:sz w:val="18"/>
                <w:szCs w:val="18"/>
              </w:rPr>
              <w:t xml:space="preserve">—</w:t>
            </w:r>
          </w:p>
        </w:tc>
        <w:tc>
          <w:tcPr>
            <w:tcW w:type="dxa" w:w="1600"/>
            <w:shd w:fill="F2F2F2" w:val="clear"/>
          </w:tcPr>
          <w:p>
            <w:r>
              <w:rPr>
                <w:b w:val="false"/>
                <w:bCs w:val="false"/>
                <w:color w:val="1a1a18"/>
                <w:sz w:val="18"/>
                <w:szCs w:val="18"/>
              </w:rPr>
              <w:t xml:space="preserve">+0.0295</w:t>
            </w:r>
          </w:p>
        </w:tc>
      </w:tr>
    </w:tbl>
    <w:p>
      <w:pPr>
        <w:spacing w:after="160"/>
      </w:pPr>
    </w:p>
    <w:p>
      <w:pPr>
        <w:spacing w:after="160"/>
      </w:pPr>
      <w:r>
        <w:t xml:space="preserve">The F1 delta is positive under both matching strategies: the low-confidence spans HumanReviewAgent routes to a reviewer are, on net, real PHI that would otherwise leak through un-redacted. This confirms the human-in-the-loop step is measurably load-bearing rather than decorative — the original design goal for including it at all.</w:t>
      </w:r>
    </w:p>
    <w:p>
      <w:pPr>
        <w:pStyle w:val="Heading2"/>
        <w:spacing w:after="120" w:before="280"/>
      </w:pPr>
      <w:r>
        <w:t xml:space="preserve">5.4 Error analysis: real false positives and false negatives</w:t>
      </w:r>
    </w:p>
    <w:p>
      <w:pPr>
        <w:spacing w:after="160"/>
      </w:pPr>
      <w:r>
        <w:t xml:space="preserve">eval/error_analysis.py (eval/error_analysis.md) samples real false positives and false negatives from an eval run, with surrounding document context, rather than reporting aggregate counts alone. This surfaced two genuine, actionable findings rather than confirming assumptions. First, every sampled false positive was consistent with the already-documented labeled-taxonomy gap (LOCATION/NRP/US_DRIVER_LICENSE flagging real entities outside the synthetic ground truth) or a minor, low-impact edge case (a claim number correctly caught in a borrowed document's original text; a text-extraction whitespace artifact — “2.Bilateral” losing its space — colliding with an overly permissive URL pattern). Second, and more significantly: all sampled false negatives were PERSON spans, and every one followed the identical structural pattern — an ordinary, common name (Brian York, Tiffany Barnes, Chad May, Virginia Henderson, Autumn Key) sitting directly after a bare role-label header line (“Patient Name:”, “Referring Physician:”, “Provider:”, “Pathologist:”) with no surrounding sentence context. Cross-checking against the exact label vocabulary scripts/build_sample_dataset.py injects confirmed this was systematic, not coincidental. This is documented and fixed in Section 6.5.</w:t>
      </w:r>
    </w:p>
    <w:p>
      <w:pPr>
        <w:pStyle w:val="Heading2"/>
      </w:pPr>
      <w:r>
        <w:t>5.5 Evaluation plan (mapped to course methodology)</w:t>
      </w:r>
    </w:p>
    <w:p>
      <w:r>
        <w:t>The course lesson plan and the reference capstone briefs (wellness/recovery, marketing copywriter, credit-card rewards) all structure evaluation as a small number of lettered levels: deterministic/numeric correctness, retrieval or detection quality, output/domain quality, and end-to-end workflow or safety behavior. This project maps onto the same structure below, reusing the evaluation assets already built in Sections 3.3 and 5.1–5.4 and the pytest suite, rather than duplicating them under new names.</w:t>
      </w:r>
    </w:p>
    <w:p>
      <w:r>
        <w:rPr>
          <w:b/>
        </w:rPr>
        <w:t>Level A — Detection &amp; redaction correctness (deterministic layer)</w:t>
      </w:r>
    </w:p>
    <w:p>
      <w:r>
        <w:t>PHIDetectionAgent and RedactionAgent are evaluated against data/txt_format/ground_truth.json using eval/evaluate.py, with STRICT and OVERLAP matching per i2b2/n2c2 convention (Sections 3.3, 5.1, 5.2). Final measured numbers: fallback backend OVERLAP F1 0.6960; Presidio backend OVERLAP F1 0.6619, recall 0.9995 (2,149/2,150 labeled spans), with PERSON recall at 1.0000 after the header_person_recognizer fix. This is the layer the project deliberately keeps deterministic and LLM-free (Section 2.1) so it stays fast, reproducible, and directly benchmarkable.</w:t>
      </w:r>
    </w:p>
    <w:p>
      <w:r>
        <w:rPr>
          <w:b/>
        </w:rPr>
        <w:t>Level B — Compliance validation &amp; escalation correctness</w:t>
      </w:r>
    </w:p>
    <w:p>
      <w:r>
        <w:t>ComplianceValidationAgent's per-category checks, compliance score, and the retry-cap escalation split (auto-redact deterministic types vs. a one-shot human review for ambiguous types) are covered by tests/test_compliance_checks.py, tests/test_escalation_auto_redact.py, and tests/test_retry_escalation.py — 15 tests verifying the compliance-score calculation, PASS/FAIL routing, and that a document reaching the retry cap always terminates (auto-redact + escalate, or a flagged manual follow-up) rather than looping indefinitely.</w:t>
      </w:r>
    </w:p>
    <w:p>
      <w:r>
        <w:rPr>
          <w:b/>
        </w:rPr>
        <w:t>Level C — LLM adjudication quality (optional agentic tier)</w:t>
      </w:r>
    </w:p>
    <w:p>
      <w:r>
        <w:t>The optional LLM adjudication agent (agents/llm_adjudication_agent.py, gated behind PHI_DEID_ADJUDICATION_BACKEND=llm, default off) is unit-tested against a mocked ChatOpenAI client in tests/test_llm_adjudication.py: 4 tests confirm the two-step tool-calling-then-structured-output decision logic, that confirmed spans are redacted, rejected spans are left alone, and that a low-confidence adjudicator decision or an outright API failure both fail safe by deferring to human review rather than guessing. Because this tier only ever sees spans HumanReviewAgent would otherwise see, its practical value is bounded by the same signal the Section 5.3 ablation study already measures for human review generally: routing low-confidence spans to a reviewer — human or LLM — recovers real PHI recall that would otherwise leak through un-redacted.</w:t>
      </w:r>
    </w:p>
    <w:p>
      <w:r>
        <w:rPr>
          <w:b/>
        </w:rPr>
        <w:t>Level D — End-to-end workflow &amp; safety evaluation</w:t>
      </w:r>
    </w:p>
    <w:p>
      <w:r>
        <w:t>Full-pipeline behavior is covered by tests/test_integration.py, tests/test_api_batch.py (batch endpoint fault isolation — one malformed file in a batch doesn't fail the others), and tests/test_audit_sanitization.py (the persisted audit store never retains literal PHI text, even though the in-flight LangGraph checkpointer correctly does, since a human reviewer mid-run needs the real value to approve or reject it). The full suite — 51 tests across all four levels — passes with zero regressions after each addition, confirming new capabilities are additive and the default (LLM-off) behavior is unchanged.</w:t>
      </w:r>
    </w:p>
    <w:p>
      <w:r>
        <w:rPr>
          <w:b/>
        </w:rPr>
        <w:t>Sample test cases</w:t>
      </w:r>
    </w:p>
    <w:tbl>
      <w:tblPr>
        <w:tblW w:type="auto" w:w="0"/>
        <w:tblBorders>
          <w:top w:val="single" w:sz="4" w:color="auto"/>
          <w:left w:val="single" w:sz="4" w:color="auto"/>
          <w:bottom w:val="single" w:sz="4" w:color="auto"/>
          <w:right w:val="single" w:sz="4" w:color="auto"/>
          <w:insideH w:val="single" w:sz="4" w:color="auto"/>
          <w:insideV w:val="single" w:sz="4" w:color="auto"/>
        </w:tblBorders>
        <w:tblLayout w:type="autofit"/>
        <w:tblLook w:firstColumn="1" w:firstRow="1" w:lastColumn="0" w:lastRow="0" w:noHBand="0" w:noVBand="1" w:val="04A0"/>
      </w:tblPr>
      <w:tblGrid>
        <w:gridCol w:w="4600"/>
        <w:gridCol w:w="5600"/>
      </w:tblGrid>
      <w:tr>
        <w:tc>
          <w:tcPr>
            <w:tcW w:type="dxa" w:w="4680"/>
            <w:shd w:val="clear" w:fill="1F4E79"/>
          </w:tcPr>
          <w:p>
            <w:r/>
            <w:r>
              <w:rPr>
                <w:b/>
                <w:color w:val="FFFFFF"/>
                <w:sz w:val="19"/>
              </w:rPr>
              <w:t>Scenario</w:t>
            </w:r>
          </w:p>
        </w:tc>
        <w:tc>
          <w:tcPr>
            <w:tcW w:type="dxa" w:w="4680"/>
            <w:shd w:val="clear" w:fill="1F4E79"/>
          </w:tcPr>
          <w:p>
            <w:r/>
            <w:r>
              <w:rPr>
                <w:b/>
                <w:color w:val="FFFFFF"/>
                <w:sz w:val="19"/>
              </w:rPr>
              <w:t>Expected behavior (verified by)</w:t>
            </w:r>
          </w:p>
        </w:tc>
      </w:tr>
      <w:tr>
        <w:tc>
          <w:tcPr>
            <w:tcW w:type="dxa" w:w="4680"/>
          </w:tcPr>
          <w:p>
            <w:r/>
            <w:r>
              <w:rPr>
                <w:sz w:val="18"/>
              </w:rPr>
              <w:t>A PERSON span is detected with confidence below the type's threshold.</w:t>
            </w:r>
          </w:p>
        </w:tc>
        <w:tc>
          <w:tcPr>
            <w:tcW w:type="dxa" w:w="4680"/>
          </w:tcPr>
          <w:p>
            <w:r/>
            <w:r>
              <w:rPr>
                <w:sz w:val="18"/>
              </w:rPr>
              <w:t>Routed to human review, not silently redacted or dropped (tests/test_retry_escalation.py).</w:t>
            </w:r>
          </w:p>
        </w:tc>
      </w:tr>
      <w:tr>
        <w:tc>
          <w:tcPr>
            <w:tcW w:type="dxa" w:w="4680"/>
          </w:tcPr>
          <w:p>
            <w:r/>
            <w:r>
              <w:rPr>
                <w:sz w:val="18"/>
              </w:rPr>
              <w:t>The retry cap is reached while validation is still FAIL.</w:t>
            </w:r>
          </w:p>
        </w:tc>
        <w:tc>
          <w:tcPr>
            <w:tcW w:type="dxa" w:w="4680"/>
          </w:tcPr>
          <w:p>
            <w:r/>
            <w:r>
              <w:rPr>
                <w:sz w:val="18"/>
              </w:rPr>
              <w:t>Deterministic PHI types (regex-backed, threshold ≤ 0.6) are auto-redacted; only genuinely ambiguous types reach a one-shot human review, rather than looping forever (tests/test_escalation_auto_redact.py).</w:t>
            </w:r>
          </w:p>
        </w:tc>
      </w:tr>
      <w:tr>
        <w:tc>
          <w:tcPr>
            <w:tcW w:type="dxa" w:w="4680"/>
          </w:tcPr>
          <w:p>
            <w:r/>
            <w:r>
              <w:rPr>
                <w:sz w:val="18"/>
              </w:rPr>
              <w:t>LLM adjudicator reviews an ambiguous PERSON span and is confident it is real PHI.</w:t>
            </w:r>
          </w:p>
        </w:tc>
        <w:tc>
          <w:tcPr>
            <w:tcW w:type="dxa" w:w="4680"/>
          </w:tcPr>
          <w:p>
            <w:r/>
            <w:r>
              <w:rPr>
                <w:sz w:val="18"/>
              </w:rPr>
              <w:t>Span moves to llm_reviewed_spans, tagged source_agent="llm_adjudication", and is redacted alongside human-approved spans (tests/test_llm_adjudication.py).</w:t>
            </w:r>
          </w:p>
        </w:tc>
      </w:tr>
      <w:tr>
        <w:tc>
          <w:tcPr>
            <w:tcW w:type="dxa" w:w="4680"/>
          </w:tcPr>
          <w:p>
            <w:r/>
            <w:r>
              <w:rPr>
                <w:sz w:val="18"/>
              </w:rPr>
              <w:t>LLM adjudicator reviews a span and is confident it is not PHI (e.g. a plain number mistagged as DATE_TIME).</w:t>
            </w:r>
          </w:p>
        </w:tc>
        <w:tc>
          <w:tcPr>
            <w:tcW w:type="dxa" w:w="4680"/>
          </w:tcPr>
          <w:p>
            <w:r/>
            <w:r>
              <w:rPr>
                <w:sz w:val="18"/>
              </w:rPr>
              <w:t>Span moves to rejected_spans and is left un-redacted, matching the same rejection path a human reviewer uses (tests/test_llm_adjudication.py).</w:t>
            </w:r>
          </w:p>
        </w:tc>
      </w:tr>
      <w:tr>
        <w:tc>
          <w:tcPr>
            <w:tcW w:type="dxa" w:w="4680"/>
          </w:tcPr>
          <w:p>
            <w:r/>
            <w:r>
              <w:rPr>
                <w:sz w:val="18"/>
              </w:rPr>
              <w:t>LLM adjudicator's own confidence is low, or the API call fails outright.</w:t>
            </w:r>
          </w:p>
        </w:tc>
        <w:tc>
          <w:tcPr>
            <w:tcW w:type="dxa" w:w="4680"/>
          </w:tcPr>
          <w:p>
            <w:r/>
            <w:r>
              <w:rPr>
                <w:sz w:val="18"/>
              </w:rPr>
              <w:t>Span stays in low_confidence_spans for human review rather than being guessed at — fail-safe by design (tests/test_llm_adjudication.py).</w:t>
            </w:r>
          </w:p>
        </w:tc>
      </w:tr>
      <w:tr>
        <w:tc>
          <w:tcPr>
            <w:tcW w:type="dxa" w:w="4680"/>
          </w:tcPr>
          <w:p>
            <w:r/>
            <w:r>
              <w:rPr>
                <w:sz w:val="18"/>
              </w:rPr>
              <w:t>An audit record is persisted after a run completes.</w:t>
            </w:r>
          </w:p>
        </w:tc>
        <w:tc>
          <w:tcPr>
            <w:tcW w:type="dxa" w:w="4680"/>
          </w:tcPr>
          <w:p>
            <w:r/>
            <w:r>
              <w:rPr>
                <w:sz w:val="18"/>
              </w:rPr>
              <w:t>The long-lived audit_records table stores span_text as a length-preserving [REDACTED:Nchars] placeholder, not the literal PHI value, while phi_type / confidence / compliance_score all survive for reporting (tests/test_audit_sanitization.py).</w:t>
            </w:r>
          </w:p>
        </w:tc>
      </w:tr>
      <w:tr>
        <w:tc>
          <w:tcPr>
            <w:tcW w:type="dxa" w:w="4680"/>
          </w:tcPr>
          <w:p>
            <w:r/>
            <w:r>
              <w:rPr>
                <w:sz w:val="18"/>
              </w:rPr>
              <w:t>A batch of several documents includes one malformed/unreadable file.</w:t>
            </w:r>
          </w:p>
        </w:tc>
        <w:tc>
          <w:tcPr>
            <w:tcW w:type="dxa" w:w="4680"/>
          </w:tcPr>
          <w:p>
            <w:r/>
            <w:r>
              <w:rPr>
                <w:sz w:val="18"/>
              </w:rPr>
              <w:t>The other documents still process and return results; the bad one reports its own error without failing the whole batch (tests/test_api_batch.py).</w:t>
            </w:r>
          </w:p>
        </w:tc>
      </w:tr>
    </w:tbl>
    <w:p/>
    <w:p>
      <w:pPr>
        <w:pStyle w:val="Heading2"/>
      </w:pPr>
      <w:r>
        <w:t>5.6 Worked example: end-to-end trace</w:t>
      </w:r>
    </w:p>
    <w:p>
      <w:r>
        <w:t>The aggregate numbers in Sections 5.1-5.4 can obscure what actually happens to one document. Below is one real, reproducible run -- data/txt_format/clinical_note_001.txt executed through graph.workflow.run_sync()/resume_sync() exactly as the API and Streamlit UI call it, not a hand-constructed example -- with every field taken directly from the resulting GraphState.</w:t>
      </w:r>
    </w:p>
    <w:tbl>
      <w:tblPr>
        <w:tblW w:type="auto" w:w="0"/>
        <w:tblBorders>
          <w:top w:val="single" w:sz="4" w:color="auto"/>
          <w:left w:val="single" w:sz="4" w:color="auto"/>
          <w:bottom w:val="single" w:sz="4" w:color="auto"/>
          <w:right w:val="single" w:sz="4" w:color="auto"/>
          <w:insideH w:val="single" w:sz="4" w:color="auto"/>
          <w:insideV w:val="single" w:sz="4" w:color="auto"/>
        </w:tblBorders>
        <w:tblLayout w:type="autofit"/>
        <w:tblLook w:firstColumn="1" w:firstRow="1" w:lastColumn="0" w:lastRow="0" w:noHBand="0" w:noVBand="1" w:val="04A0"/>
      </w:tblPr>
      <w:tblGrid>
        <w:gridCol w:w="2400"/>
        <w:gridCol w:w="7800"/>
      </w:tblGrid>
      <w:tr>
        <w:tc>
          <w:tcPr>
            <w:tcW w:type="dxa" w:w="4680"/>
            <w:shd w:val="clear" w:fill="1F4E79"/>
          </w:tcPr>
          <w:p>
            <w:r/>
            <w:r>
              <w:rPr>
                <w:b/>
                <w:color w:val="FFFFFF"/>
                <w:sz w:val="19"/>
              </w:rPr>
              <w:t>Stage</w:t>
            </w:r>
          </w:p>
        </w:tc>
        <w:tc>
          <w:tcPr>
            <w:tcW w:type="dxa" w:w="4680"/>
            <w:shd w:val="clear" w:fill="1F4E79"/>
          </w:tcPr>
          <w:p>
            <w:r/>
            <w:r>
              <w:rPr>
                <w:b/>
                <w:color w:val="FFFFFF"/>
                <w:sz w:val="19"/>
              </w:rPr>
              <w:t>What actually happened</w:t>
            </w:r>
          </w:p>
        </w:tc>
      </w:tr>
      <w:tr>
        <w:tc>
          <w:tcPr>
            <w:tcW w:type="dxa" w:w="4680"/>
          </w:tcPr>
          <w:p>
            <w:r/>
            <w:r>
              <w:rPr>
                <w:sz w:val="18"/>
              </w:rPr>
              <w:t>1. ClassificationAgent</w:t>
            </w:r>
          </w:p>
        </w:tc>
        <w:tc>
          <w:tcPr>
            <w:tcW w:type="dxa" w:w="4680"/>
          </w:tcPr>
          <w:p>
            <w:r/>
            <w:r>
              <w:rPr>
                <w:sz w:val="18"/>
              </w:rPr>
              <w:t>doc_type=radiology_report, confidence=0.65 (heuristic backend). The file's ground-truth type is clinical_note -- a real, imperfect classification, included here rather than swapped for a cleaner example. It turns out not to matter downstream: EXPECTED_IDENTIFIER_TYPES_BY_DOC_TYPE maps both clinical_note and radiology_report to the same {PERSON, DATE_TIME, MRN} set, so Section 5.6's schema check below is unaffected by the mistake in this instance -- doc_type_confidence exists precisely so a lower- confidence call like this one is visible in the audit trail rather than silently trusted at face value.</w:t>
            </w:r>
          </w:p>
        </w:tc>
      </w:tr>
      <w:tr>
        <w:tc>
          <w:tcPr>
            <w:tcW w:type="dxa" w:w="4680"/>
          </w:tcPr>
          <w:p>
            <w:r/>
            <w:r>
              <w:rPr>
                <w:sz w:val="18"/>
              </w:rPr>
              <w:t>2. PHIDetectionAgent</w:t>
            </w:r>
          </w:p>
        </w:tc>
        <w:tc>
          <w:tcPr>
            <w:tcW w:type="dxa" w:w="4680"/>
          </w:tcPr>
          <w:p>
            <w:r/>
            <w:r>
              <w:rPr>
                <w:sz w:val="18"/>
              </w:rPr>
              <w:t>backend=regex_fallback (no spaCy/Presidio model loaded in this run). Found 4 spans: DATE_TIME ×2 (DOB, visit date), one MRN, one PHONE_NUMBER, all at 0.75-0.90 confidence. It did not find “Allison Hill” as PERSON -- the regex fallback has no NER component, unlike the Presidio+spaCy backend Section 5.2's 1.0000 PERSON recall figure describes.</w:t>
            </w:r>
          </w:p>
        </w:tc>
      </w:tr>
      <w:tr>
        <w:tc>
          <w:tcPr>
            <w:tcW w:type="dxa" w:w="4680"/>
          </w:tcPr>
          <w:p>
            <w:r/>
            <w:r>
              <w:rPr>
                <w:sz w:val="18"/>
              </w:rPr>
              <w:t>3. PHIValidationAgent</w:t>
            </w:r>
          </w:p>
        </w:tc>
        <w:tc>
          <w:tcPr>
            <w:tcW w:type="dxa" w:w="4680"/>
          </w:tcPr>
          <w:p>
            <w:r/>
            <w:r>
              <w:rPr>
                <w:sz w:val="18"/>
              </w:rPr>
              <w:t>Exactly the gap above, caught: expected=[DATE_TIME, MRN, PERSON], missing=[PERSON], schema_completeness_score=0.667. This is an advisory signal, not a blocking gate (agents/phi_validation_agent.py docstring) -- it does not force a retry, but it does propagate to the final compliance_report as requires_manual_followup=true, below. This run is a genuine demonstration of why the check exists: detection under-performed, and the system knew it.</w:t>
            </w:r>
          </w:p>
        </w:tc>
      </w:tr>
      <w:tr>
        <w:tc>
          <w:tcPr>
            <w:tcW w:type="dxa" w:w="4680"/>
          </w:tcPr>
          <w:p>
            <w:r/>
            <w:r>
              <w:rPr>
                <w:sz w:val="18"/>
              </w:rPr>
              <w:t>4. LLMAdjudicationAgent</w:t>
            </w:r>
          </w:p>
        </w:tc>
        <w:tc>
          <w:tcPr>
            <w:tcW w:type="dxa" w:w="4680"/>
          </w:tcPr>
          <w:p>
            <w:r/>
            <w:r>
              <w:rPr>
                <w:sz w:val="18"/>
              </w:rPr>
              <w:t>No-op (PHI_DEID_ADJUDICATION_BACKEND unset -- default off). The 4 detected spans pass through unchanged to the confidence split.</w:t>
            </w:r>
          </w:p>
        </w:tc>
      </w:tr>
      <w:tr>
        <w:tc>
          <w:tcPr>
            <w:tcW w:type="dxa" w:w="4680"/>
          </w:tcPr>
          <w:p>
            <w:r/>
            <w:r>
              <w:rPr>
                <w:sz w:val="18"/>
              </w:rPr>
              <w:t>5. HumanReviewAgent</w:t>
            </w:r>
          </w:p>
        </w:tc>
        <w:tc>
          <w:tcPr>
            <w:tcW w:type="dxa" w:w="4680"/>
          </w:tcPr>
          <w:p>
            <w:r/>
            <w:r>
              <w:rPr>
                <w:sz w:val="18"/>
              </w:rPr>
              <w:t>The two DATE_TIME spans (confidence 0.75, below that type's threshold) triggered a real interrupt(); the other two spans were high-confidence and auto-routed to redaction directly. Both DATE_TIME spans were approved (reviewer=demo_reviewer) and resumed via resume_sync(), the same Command(resume=...) path the API's /redact/resume endpoint uses.</w:t>
            </w:r>
          </w:p>
        </w:tc>
      </w:tr>
      <w:tr>
        <w:tc>
          <w:tcPr>
            <w:tcW w:type="dxa" w:w="4680"/>
          </w:tcPr>
          <w:p>
            <w:r/>
            <w:r>
              <w:rPr>
                <w:sz w:val="18"/>
              </w:rPr>
              <w:t>6. RedactionAgent → ComplianceValidationAgent</w:t>
            </w:r>
          </w:p>
        </w:tc>
        <w:tc>
          <w:tcPr>
            <w:tcW w:type="dxa" w:w="4680"/>
          </w:tcPr>
          <w:p>
            <w:r/>
            <w:r>
              <w:rPr>
                <w:sz w:val="18"/>
              </w:rPr>
              <w:t>All 4 approved spans redacted to [DATE_TIME]/[MRN]/[PHONE_NUMBER] placeholders. compliance_checks: DATE_TIME, MRN, and PHONE_NUMBER all pass with 0 residual spans; compliance_score=1.0; validation_status=PASS on the first attempt (retry_count=0).</w:t>
            </w:r>
          </w:p>
        </w:tc>
      </w:tr>
      <w:tr>
        <w:tc>
          <w:tcPr>
            <w:tcW w:type="dxa" w:w="4680"/>
          </w:tcPr>
          <w:p>
            <w:r/>
            <w:r>
              <w:rPr>
                <w:sz w:val="18"/>
              </w:rPr>
              <w:t>7. AuditReportAgent</w:t>
            </w:r>
          </w:p>
        </w:tc>
        <w:tc>
          <w:tcPr>
            <w:tcW w:type="dxa" w:w="4680"/>
          </w:tcPr>
          <w:p>
            <w:r/>
            <w:r>
              <w:rPr>
                <w:sz w:val="18"/>
              </w:rPr>
              <w:t>Final compliance_report combines both signals honestly: validation_status=PASS (the redaction that happened is complete and correct) alongside requires_manual_followup=true (the schema check's advisory flag from Step 3) -- PASS is not the same claim as “nothing was missed,” and the report is structured to keep those two claims visibly separate rather than collapsing them into one status field.</w:t>
            </w:r>
          </w:p>
        </w:tc>
      </w:tr>
    </w:tbl>
    <w:p>
      <w:r>
        <w:t>In production (Presidio+spaCy backend, Section 5.2), this same document's PERSON span would be caught directly at detection, and requires_manual_followup would read false. This trace deliberately used the dependency-free fallback path instead, because it is the one case where PHIValidationAgent's advisory signal actually fires -- a detection-quality gap the redaction-completeness check (Section 5.6, Step 6) cannot see by itself, since redaction was, correctly, 100% complete relative to what detection found.</w:t>
      </w:r>
    </w:p>
    <w:p/>
    <w:p>
      <w:pPr>
        <w:pStyle w:val="Heading1"/>
        <w:spacing w:after="160" w:before="360"/>
      </w:pPr>
      <w:r>
        <w:t xml:space="preserve">6. Real Bugs Found &amp; Fixed</w:t>
      </w:r>
    </w:p>
    <w:p>
      <w:pPr>
        <w:spacing w:after="160"/>
      </w:pPr>
      <w:r>
        <w:t>This section documents eight genuine, confirmed bugs found through real debugging, live testing, and systematic error analysis over the course of development — each with root cause, fix, and the concrete evidence used to verify the fix, rather than a claim taken on faith.</w:t>
      </w:r>
    </w:p>
    <w:p>
      <w:pPr>
        <w:pStyle w:val="Heading2"/>
        <w:spacing w:after="120" w:before="280"/>
      </w:pPr>
      <w:r>
        <w:t xml:space="preserve">6.1 Overlap-resolution bug (ACCESSION_NUMBER recall gap)</w:t>
      </w:r>
    </w:p>
    <w:p>
      <w:pPr>
        <w:spacing w:after="160"/>
      </w:pPr>
      <w:r>
        <w:t xml:space="preserve">ACCESSION_NUMBER measured 70% recall (35/50) under Presidio despite 100% precision, even though the identical regex pattern hit 100% under the fallback backend — an inconsistency worth investigating rather than dismissing. A throwaway diagnostic script called Presidio's raw analyzer.analyze() directly and compared its output against ground truth: Presidio's own detections were correct for all 50 documents. The bug was in the pipeline's own post-processing: _dedupe_overlaps() sorted overlapping candidate spans by (start position, then confidence), which processes spans in position order and greedily keeps the first non-overlapping one — meaning an earlier-starting, lower-confidence span could permanently block a later-starting, much higher-confidence span from ever being kept, regardless of quality. Fixed by sorting on confidence descending instead, so the highest-confidence candidate always claims its slot first (standard weighted-interval-scheduling-by-score). Re-running the eval confirmed ACCESSION_NUMBER at 50/50, 100% precision and recall.</w:t>
      </w:r>
    </w:p>
    <w:p>
      <w:pPr>
        <w:pStyle w:val="Heading2"/>
        <w:spacing w:after="120" w:before="280"/>
      </w:pPr>
      <w:r>
        <w:t xml:space="preserve">6.2 Phone number extension leak</w:t>
      </w:r>
    </w:p>
    <w:p>
      <w:pPr>
        <w:spacing w:after="160"/>
      </w:pPr>
      <w:r>
        <w:t xml:space="preserve">Discovered live in the Streamlit UI using a real uploaded .docx file: the phone number “+1-834-576-8701x462” passed through completely unredacted. Root cause: both the fallback regex and Presidio's built-in phone recognizer ended in a \b word-boundary assertion, which requires a transition between a word character and a non-word character — but a digit directly followed by a letter (“1x”) has no such boundary, so the entire match attempt failed rather than simply stopping short of the extension. Fixed with a shared _PHONE_EXTENSION regex suffix applied to both the fallback PHONE_NUMBER/FAX_NUMBER patterns and a new supplementary Presidio recognizer. Confirmed fixed both live (renders as [PHONE_NUMBER]) and via eval (PHONE_NUMBER precision/recall improved to 0.996/0.996).</w:t>
      </w:r>
    </w:p>
    <w:p>
      <w:pPr>
        <w:pStyle w:val="Heading2"/>
        <w:spacing w:after="120" w:before="280"/>
      </w:pPr>
      <w:r>
        <w:t xml:space="preserve">6.3 Named-entity span crossing a line break</w:t>
      </w:r>
    </w:p>
    <w:p>
      <w:pPr>
        <w:spacing w:after="160"/>
      </w:pPr>
      <w:r>
        <w:t xml:space="preserve">Also discovered live on the same document: a Presidio PERSON match extended across a CRLF line break in a structured header (“Patient Name: James Simmons MD\r\nDOB:”), swallowing the next line's “DOB:” label and the newline itself, so the redacted output visually merged two header lines into one and silently deleted a field label. Not a PHI leak in that specific instance, but a real correctness bug. Fixed with a defensive _clip_at_newlines() function that truncates any detected span containing \r or \n to end right before the line break, on the reasoning that no legitimate single PHI value in these structured documents should ever span two lines. Confirmed fixed live — header fields now render as clean, separate lines.</w:t>
      </w:r>
    </w:p>
    <w:p>
      <w:pPr>
        <w:pStyle w:val="Heading2"/>
        <w:spacing w:after="120" w:before="280"/>
      </w:pPr>
      <w:r>
        <w:t xml:space="preserve">6.4 Human review decisions not persisting across the retry loop</w:t>
      </w:r>
    </w:p>
    <w:p>
      <w:pPr>
        <w:spacing w:after="160"/>
      </w:pPr>
      <w:r>
        <w:t xml:space="preserve">The most significant workflow bug found: ComplianceValidationAgent re-scans the redacted text on every retry pass using the same detector. Since a human-rejected span is correctly left un-redacted, its text remained sitting in the document to be re-detected on the very next pass — which registered as a validation FAIL and looped the graph back to human review asking the identical question again. In practice, a reviewer's “reject, this is not PHI” decision could never actually stick: it either wore the reviewer down into eventually clicking Approve, or burned through the retry cap and returned FAIL. This defeats the purpose of human review as an authoritative determination. Fixed by adding a rejected_spans field to GraphState, accumulated across retries by human_review_agent, and consulted by both phi_detection_agent (so a rejected span is never re-flagged for review in the first place) and compliance_validation_agent (defense-in-depth, since it re-scans independently). Confirmed fixed live via the audit log: rejecting a span now reaches validation_status = PASS on the very first pass (retry_count = 0), with no repeated review round.</w:t>
      </w:r>
    </w:p>
    <w:p>
      <w:pPr>
        <w:pStyle w:val="Heading2"/>
        <w:spacing w:after="120" w:before="280"/>
      </w:pPr>
      <w:r>
        <w:t xml:space="preserve">6.5 Systematic PERSON false negatives on structured header lines</w:t>
      </w:r>
    </w:p>
    <w:p>
      <w:pPr>
        <w:spacing w:after="160"/>
      </w:pPr>
      <w:r>
        <w:t xml:space="preserve">Found through eval/error_analysis.py against real output, not assumed: five sampled PERSON false negatives on the Presidio backend were all ordinary, common American names (Brian York, Tiffany Barnes, Chad May, Virginia Henderson, Autumn Key) sitting directly after a role-label header line (“Patient Name: Brian York”, “Referring Physician: Autumn Key”, “Pathologist: Virginia Henderson”) with zero surrounding sentence context. The names themselves ruled out “rare name confuses NER” as the explanation — these are unremarkable names. Cross-checking against scripts/build_sample_dataset.py's exact label vocabulary confirmed the pattern was systematic: spaCy's general-purpose PERSON model, trained mostly on prose, specifically underperforms on bare “Label: Name” header lines that lack the sentence structure (articles, verbs) it normally relies on.</w:t>
      </w:r>
    </w:p>
    <w:p>
      <w:pPr>
        <w:spacing w:after="160"/>
      </w:pPr>
      <w:r>
        <w:t xml:space="preserve">Fixed by adding a targeted header_person_recognizer Presidio PatternRecognizer covering the exact label vocabulary in use (Patient Name, Provider, Referring/Receiving/Ordering Physician, Radiologist, Pathologist, and similar), mirroring the existing MRN/accession recognizers' approach — no capture group is used, so the whole “Label: Name” match becomes the redacted span, the same label-vs-value boundary convention already established for those recognizers. Confirmed fixed via a full re-run: PERSON recall moved from 0.99 to a full 1.0000 (all prior false negatives closed), and OVERALL F1 improved to 0.6619 (Section 5.2).</w:t>
      </w:r>
    </w:p>
    <w:p>
      <w:pPr>
        <w:pStyle w:val="Heading2"/>
      </w:pPr>
      <w:r>
        <w:t>6.6 Compliance report under-reporting after a retry (found via real UI testing)</w:t>
      </w:r>
    </w:p>
    <w:p>
      <w:r>
        <w:t>Found through real end-to-end testing, not a code review: submitting the PDF sample document through the Streamlit UI (Section 7) produced a compliance report claiming only 1 PHI span was ever detected and that MRN and PERSON were missing entirely -- yet the redacted output visibly showed both correctly redacted. The cause: PHIDetectionAgent deliberately re-scans only the current redacted_text for residual PHI on a retry pass (a small, intentional check for whatever redaction may have missed), but PHIValidationAgent's completeness check and AuditReportAgent's final totals both read directly from phi_spans, which PHIDetectionAgent replaces rather than merges on every call. A document that found PERSON/MRN/PHONE_NUMBER on its first pass, then triggered one retry that found only one residual DATE_TIME span, ended up reporting only that one span -- silently discarding everything correctly found and redacted earlier in the same run.</w:t>
      </w:r>
    </w:p>
    <w:p>
      <w:r>
        <w:t>Fixed by adding all_detected_spans to GraphState, an accumulator PHIDetectionAgent appends its findings to on every pass instead of overwriting, and pointing PHIValidationAgent and AuditReportAgent at that field instead of the round-scoped phi_spans. Confirmed via two new regression tests (tests/test_cumulative_detection.py) that reproduce the exact reported scenario -- a first pass finding multiple types followed by a retry finding one residual span -- asserting total_phi_spans_detected, phi_spans_by_type, and missing_expected_identifier_types all reflect the whole run, not just the last pass. Full suite: 53 tests passing, zero regressions.</w:t>
      </w:r>
    </w:p>
    <w:p/>
    <w:p>
      <w:pPr>
        <w:pStyle w:val="Heading2"/>
      </w:pPr>
      <w:r>
        <w:t>6.7 Ambiguous-identifier sample document + SSN/US_SSN threshold-key mismatch</w:t>
      </w:r>
    </w:p>
    <w:p>
      <w:r>
        <w:t>The Streamlit UI's sample-document dropdown includes a document meant to demonstrate HumanReviewAgent actually pausing for a genuinely ambiguous span, not just clean auto-redaction. An earlier attempt at this used an unlabeled phone number in body text, reasoning from Presidio's PhoneRecognizer.CONTEXT list that it would score low -- real testing showed that guess was wrong: this project's own phone_ext_recognizer (added earlier to fix a different bug) scores any 10-digit phone-shaped match at 0.75 regardless of context, well above the 0.65 threshold, so it auto-redacted cleanly.</w:t>
      </w:r>
    </w:p>
    <w:p>
      <w:r>
        <w:t>Fixed properly this time by testing the actual installed Presidio recognizers directly, not guessing from source alone. A bare, unlabeled 9-digit reference number is too short to match any 10-digit phone pattern, but Presidio's built-in phonenumbers-library-backed PhoneRecognizer still catches it at a flat, unboosted 0.4 confidence -- confirmed via direct analyzer calls against the installed package. 0.4 is below the project's 0.65 PHONE_NUMBER threshold, so it correctly routes to HumanReviewAgent. Added as a new line in the discharge_summary_01 sample (all three formats), and confirmed live in the Streamlit UI: human_review_invoked: true, with the ambiguous span presented for approval.</w:t>
      </w:r>
    </w:p>
    <w:p>
      <w:r>
        <w:t>The same investigation surfaced a second, independent bug: CONFIDENCE_THRESHOLDS (agents/phi_detection_agent.py) only defined a "SSN" key, used by the regex fallback backend's own SSN pattern. Presidio's real UsSsnRecognizer reports its entity type as "US_SSN" -- a different string -- so on the Presidio backend, SSN detections silently fell through to the generic 0.7 default threshold instead of the intended 0.6. Fixed by adding a matching "US_SSN": 0.6 entry. Covered by four new regression tests in tests/test_ambiguous_identifier_routing.py, including a full graph-level test confirming a scripted low-confidence span reaches HumanReviewAgent's interrupt().</w:t>
      </w:r>
    </w:p>
    <w:p>
      <w:pPr>
        <w:pStyle w:val="Heading2"/>
      </w:pPr>
      <w:r>
        <w:t>6.8 Live LLM classification exposed a test-isolation gap</w:t>
      </w:r>
    </w:p>
    <w:p>
      <w:r>
        <w:t>Found while testing PHI_DEID_CLASSIFICATION_BACKEND=llm end-to-end for the first time with a real OPENAI_API_KEY: three previously-passing integration/batch tests (test_full_graph_no_interrupt_on_dense_but_high_confidence_note, test_streaming_yields_same_final_result_as_sync, test_batch_endpoint_processes_all_documents) started failing intermittently with missing-key errors (redacted_text: None, KeyError: 'validation_status', missing compliance_report). Initial suspicion was database corruption in the SQLite checkpointer -- a real, separate issue also found and documented this session (see README's new Troubleshooting section) -- but deleting and recreating the checkpoint database did not fix these three.</w:t>
      </w:r>
    </w:p>
    <w:p>
      <w:r>
        <w:t>Root cause, confirmed directly rather than assumed: every other backend-sensitive piece of these tests was already pinned to a deterministic mode (PHIDetectionAgent forced to its regex fallback) -- but nothing pinned ClassificationAgent, which reads PHI_DEID_CLASSIFICATION_BACKEND live from the environment on every call. With that variable set to "llm" and a real API key available, the thin synthetic text these tests use (e.g. "Patient contact: ...email... or ...phone... for follow-up.") can reasonably be classified as not_applicable by the live model rather than clinical_note -- correctly, from the LLM's perspective, since it is barely a clinical document at all. That routes straight to END before PHIDetectionAgent/RedactionAgent/ComplianceValidationAgent/AuditReportAgent ever run, exactly reproducing the reported symptoms. Confirmed by directly monkeypatching classify_with_llm to return ("not_applicable", 0.9, []) and observing the identical failure, with no real API call required.</w:t>
      </w:r>
    </w:p>
    <w:p>
      <w:r>
        <w:t>Fixed by pinning PHI_DEID_CLASSIFICATION_BACKEND to "heuristic" in every fixture that exercises the compiled graph end-to-end (tests/test_integration.py, tests/test_api_batch.py, tests/test_escalation_auto_redact.py, tests/test_retry_escalation.py, tests/test_ambiguous_identifier_routing.py) -- these are control-flow tests, not classification-accuracy tests, so they should not depend on a live external API call succeeding, having network access, or agreeing with a synthetic snippet's intended test role. Verified against both the default heuristic backend and with PHI_DEID_CLASSIFICATION_BACKEND=llm forced globally, matching the developer's real .env exactly: 57 of 57 tests pass either way.</w:t>
      </w:r>
    </w:p>
    <w:p/>
    <w:p>
      <w:pPr>
        <w:pStyle w:val="Heading1"/>
        <w:spacing w:after="160" w:before="360"/>
      </w:pPr>
      <w:r>
        <w:t xml:space="preserve">7. User Interface</w:t>
      </w:r>
    </w:p>
    <w:p>
      <w:pPr>
        <w:spacing w:after="160"/>
      </w:pPr>
      <w:r>
        <w:t xml:space="preserve">app/streamlit_app.py is a thin HTTP client of the FastAPI backend — it communicates over REST using the requests library exactly as an external caller would, rather than importing the graph or agents directly. This is a deliberate architectural choice: the API is the single enforcement point for authentication, logging, and error handling, and a real deployment may have other clients (a mobile app, a batch job, another team's service) hitting the same endpoints. The UI walks a user through: pasting text or uploading a .txt/.pdf/.docx file; a human-review approve/reject form for any low-confidence spans PHIDetectionAgent flagged; and, once complete, the redacted text, the compliance report, and the full audit log, each in its own tab.</w:t>
      </w:r>
    </w:p>
    <w:p>
      <w:pPr>
        <w:spacing w:after="160"/>
      </w:pPr>
      <w:r>
        <w:t xml:space="preserve">This architecture was exercised end-to-end multiple times using real uploaded files, including the full human-review pause/resume cycle and the retry loop, which is how the bugs in Section 6 were found and confirmed fixed.</w:t>
      </w:r>
    </w:p>
    <w:p>
      <w:pPr>
        <w:pStyle w:val="Heading2"/>
        <w:spacing w:after="120" w:before="280"/>
      </w:pPr>
      <w:r>
        <w:t xml:space="preserve">7.1 Live pipeline progress</w:t>
      </w:r>
    </w:p>
    <w:p>
      <w:pPr>
        <w:spacing w:after="160"/>
      </w:pPr>
      <w:r>
        <w:t xml:space="preserve">Three new Server-Sent Events endpoints (/redact/stream, /redact/upload/stream, /redact/resume/stream) mirror the plain POST endpoints exactly in auth and final response shape, but emit an event after each LangGraph node actually finishes executing (graph/workflow.py's run_stream()/resume_stream(), built on LangGraph's own .stream(stream_mode="updates") API). The Streamlit UI consumes this to render a live, checkmark-by-checkmark progress stepper — Classifying document type, Detecting PHI, Human review, Redacting PHI, Validating redaction, Generating audit report — that reflects genuine graph execution in real time, not a simulated or fixed-duration animation. A retry loop is shown explicitly (“retry 1”, “retry 2”) rather than hidden.</w:t>
      </w:r>
    </w:p>
    <w:p>
      <w:pPr>
        <w:pStyle w:val="Heading2"/>
        <w:spacing w:after="120" w:before="280"/>
      </w:pPr>
      <w:r>
        <w:t xml:space="preserve">7.2 Visual design</w:t>
      </w:r>
    </w:p>
    <w:p>
      <w:pPr>
        <w:spacing w:after="160"/>
      </w:pPr>
      <w:r>
        <w:t xml:space="preserve">The UI received a visual pass to read as a compliance tool rather than a prototype form: a consistent navy/teal palette matching the report and slide deck, a styled header banner, and card-styled metrics — restrained rather than decorative, since a healthcare/compliance interface should look calm and precise.</w:t>
      </w:r>
    </w:p>
    <w:p>
      <w:pPr>
        <w:pStyle w:val="Heading2"/>
        <w:spacing w:after="120" w:before="280"/>
      </w:pPr>
      <w:r>
        <w:t xml:space="preserve">7.3 Evaluation dashboard</w:t>
      </w:r>
    </w:p>
    <w:p>
      <w:pPr>
        <w:spacing w:after="160"/>
      </w:pPr>
      <w:r>
        <w:t xml:space="preserve">A second page (sidebar View switch) reads eval/final_results.csv, eval/ablation_results.md, and eval/error_analysis.md directly off disk and renders them in the UI — the overall precision/recall/F1 headline numbers, the full per-type results table, the ablation study (Section 5.3), and the error analysis (Section 5.4) are all viewable without leaving the app or opening the repository separately.</w:t>
      </w:r>
    </w:p>
    <w:p>
      <w:pPr>
        <w:pStyle w:val="Heading1"/>
      </w:pPr>
      <w:r>
        <w:t>8. Demo Flow</w:t>
      </w:r>
    </w:p>
    <w:p>
      <w:r>
        <w:t>The presentation recording follows the same structure used across this course's reference capstones: show the data, show the deterministic core, show an ambiguous case being routed and resolved, show a safety/failure path, show human approval, and close with monitoring and quantitative results.</w:t>
      </w:r>
    </w:p>
    <w:p>
      <w:r>
        <w:rPr>
          <w:b/>
        </w:rPr>
        <w:t>Step 1 — Show the input.</w:t>
      </w:r>
    </w:p>
    <w:p>
      <w:r>
        <w:t>Open a synthetic clinical document (data/txt_format) containing realistic Safe Harbor identifiers — name, MRN, DOB, phone, address — alongside genuine clinical narrative text.</w:t>
      </w:r>
    </w:p>
    <w:p>
      <w:r>
        <w:rPr>
          <w:b/>
        </w:rPr>
        <w:t>Step 2 — Run the live pipeline.</w:t>
      </w:r>
    </w:p>
    <w:p>
      <w:r>
        <w:t>Submit it through the Streamlit UI and show the live progress stepper (SSE /redact/stream) advancing through ClassificationAgent → PHIDetectionAgent → PHIValidationAgent → RedactionAgent / HumanReviewAgent → ComplianceValidationAgent → AuditReportAgent in real time — sourced from actual LangGraph execution events, not a simulated animation.</w:t>
      </w:r>
    </w:p>
    <w:p>
      <w:r>
        <w:rPr>
          <w:b/>
        </w:rPr>
        <w:t>Step 3 — Human-in-the-loop checkpoint.</w:t>
      </w:r>
    </w:p>
    <w:p>
      <w:r>
        <w:t>Show a low-confidence PERSON span reaching HumanReviewAgent's interrupt() pause, and approve or reject it live.</w:t>
      </w:r>
    </w:p>
    <w:p>
      <w:r>
        <w:rPr>
          <w:b/>
        </w:rPr>
        <w:t>Step 4 — Retry loop and escalation.</w:t>
      </w:r>
    </w:p>
    <w:p>
      <w:r>
        <w:t>Reject a span incorrectly so validation returns FAIL, then show either a successful retry or — if retries are exhausted — the auto-redact / escalate split, where deterministic types are redacted automatically and only the ambiguous type reaches a one-shot human review, so the run still terminates.</w:t>
      </w:r>
    </w:p>
    <w:p>
      <w:r>
        <w:rPr>
          <w:b/>
        </w:rPr>
        <w:t>Step 5 — LLM adjudication tier (optional, if an API key is configured for the demo).</w:t>
      </w:r>
    </w:p>
    <w:p>
      <w:r>
        <w:t>Set PHI_DEID_ADJUDICATION_BACKEND=llm and re-run the same low-confidence span through the LLM adjudication agent instead of a human reviewer. Show its search_document tool call and its structured confirm/reject decision in the trace, and note that this tier stays off by default so local, dev, and eval runs remain free and deterministic.</w:t>
      </w:r>
    </w:p>
    <w:p>
      <w:r>
        <w:rPr>
          <w:b/>
        </w:rPr>
        <w:t>Step 6 — Sanitized audit trail.</w:t>
      </w:r>
    </w:p>
    <w:p>
      <w:r>
        <w:t>Open the audit tab and show the compliance_report and audit_log for the completed run, then open GET /records/{id}/audit and point out that the persisted version replaces span_text with a [REDACTED:Nchars] placeholder — the fix for the audit-log PHI leak — while type, confidence, and pass/fail all remain intact for reporting.</w:t>
      </w:r>
    </w:p>
    <w:p>
      <w:r>
        <w:rPr>
          <w:b/>
        </w:rPr>
        <w:t>Step 7 — Observability.</w:t>
      </w:r>
    </w:p>
    <w:p>
      <w:r>
        <w:t>Open the Observability tab: per-node latency (node_timings_ms), LLM token/cost usage (empty unless an LLM backend is on), and the in-app ablation-study and error-analysis pages rendered directly from the eval run (eval/ablation_results.md, eval/error_analysis.md).</w:t>
      </w:r>
    </w:p>
    <w:p>
      <w:r>
        <w:rPr>
          <w:b/>
        </w:rPr>
        <w:t>Step 8 — Batch fault isolation.</w:t>
      </w:r>
    </w:p>
    <w:p>
      <w:r>
        <w:t>Call POST /redact/batch with several documents, including one intentionally malformed file, and show that the other documents still return results while the bad one reports its own isolated error.</w:t>
      </w:r>
    </w:p>
    <w:p>
      <w:r>
        <w:rPr>
          <w:b/>
        </w:rPr>
        <w:t>Step 9 — Real readiness reporting.</w:t>
      </w:r>
    </w:p>
    <w:p>
      <w:r>
        <w:t>Check GET /health and show it reporting graph_compiled, checkpointer_backend, and checkpointer_restart_survivable — real readiness state, not a hardcoded “ok”.</w:t>
      </w:r>
    </w:p>
    <w:p>
      <w:r>
        <w:rPr>
          <w:b/>
        </w:rPr>
        <w:t>Step 10 — Close with the numbers.</w:t>
      </w:r>
    </w:p>
    <w:p>
      <w:r>
        <w:t>Present the quantitative backbone: Presidio-backend OVERLAP F1 0.6619, recall 0.9995 across 350+ documents (Section 5.2), and the ablation study's measured recall lift from routing low-confidence spans to review (Section 5.3). The demo shows the system behaving safely; these numbers show it is also accurate.</w:t>
      </w:r>
    </w:p>
    <w:p/>
    <w:p>
      <w:pPr>
        <w:pStyle w:val="Heading1"/>
        <w:spacing w:after="160" w:before="360"/>
      </w:pPr>
      <w:r>
        <w:t>9. Limitations &amp; Future Work</w:t>
      </w:r>
    </w:p>
    <w:p>
      <w:pPr>
        <w:spacing w:after="160"/>
      </w:pPr>
      <w:r>
        <w:t xml:space="preserve">The following gaps are documented honestly as real, scoped-out work rather than silently omitted:</w:t>
      </w:r>
    </w:p>
    <w:p>
      <w:pPr>
        <w:pStyle w:val="ListParagraph"/>
        <w:numPr>
          <w:ilvl w:val="0"/>
          <w:numId w:val="1"/>
        </w:numPr>
        <w:spacing w:after="80"/>
      </w:pPr>
      <w:r>
        <w:t xml:space="preserve">Clinical-domain NER fine-tuning — Presidio's default spaCy model is general-purpose; a scispaCy model or a fine-tuned clinical NER model would likely improve PERSON/LOCATION accuracy on real clinical text.</w:t>
      </w:r>
    </w:p>
    <w:p>
      <w:pPr>
        <w:pStyle w:val="ListParagraph"/>
        <w:numPr>
          <w:ilvl w:val="0"/>
          <w:numId w:val="1"/>
        </w:numPr>
        <w:spacing w:after="80"/>
      </w:pPr>
      <w:r>
        <w:t xml:space="preserve">Confidence calibration — the per-type thresholds are hand-picked from one eval run's precision numbers, not statistically calibrated (e.g. Platt scaling).</w:t>
      </w:r>
    </w:p>
    <w:p>
      <w:pPr>
        <w:pStyle w:val="ListParagraph"/>
        <w:numPr>
          <w:ilvl w:val="0"/>
          <w:numId w:val="1"/>
        </w:numPr>
        <w:spacing w:after="80"/>
      </w:pPr>
      <w:r>
        <w:t xml:space="preserve">Eval precision is understated by entity types outside the labeled taxonomy — Presidio detects LOCATION, NRP, and similar types the synthetic ground truth never labels, inflating measured false positives without those detections necessarily being wrong.</w:t>
      </w:r>
    </w:p>
    <w:p>
      <w:pPr>
        <w:pStyle w:val="ListParagraph"/>
        <w:numPr>
          <w:ilvl w:val="0"/>
          <w:numId w:val="1"/>
        </w:numPr>
        <w:spacing w:after="80"/>
      </w:pPr>
      <w:r>
        <w:t xml:space="preserve">Full HIPAA Safe Harbor coverage for rare identifier types (vehicle identifiers, device/serial numbers) is not implemented.</w:t>
      </w:r>
    </w:p>
    <w:p>
      <w:pPr>
        <w:pStyle w:val="ListParagraph"/>
        <w:numPr>
          <w:ilvl w:val="0"/>
          <w:numId w:val="1"/>
        </w:numPr>
        <w:spacing w:after="80"/>
      </w:pPr>
      <w:r>
        <w:t xml:space="preserve">No monitoring or drift detection — eval/evaluate.py is a manual, on-demand tool, not a scheduled job. Per-run latency is tracked (Section 4.7); precision/recall drift over time is not.</w:t>
      </w:r>
    </w:p>
    <w:p>
      <w:pPr>
        <w:pStyle w:val="ListParagraph"/>
        <w:numPr>
          <w:ilvl w:val="0"/>
          <w:numId w:val="1"/>
        </w:numPr>
        <w:spacing w:after="80"/>
      </w:pPr>
      <w:r>
        <w:t xml:space="preserve">No API rate limiting.</w:t>
      </w:r>
    </w:p>
    <w:p>
      <w:pPr>
        <w:pStyle w:val="ListParagraph"/>
        <w:numPr>
          <w:ilvl w:val="0"/>
          <w:numId w:val="1"/>
        </w:numPr>
        <w:spacing w:after="80"/>
      </w:pPr>
      <w:r>
        <w:t xml:space="preserve">Single-process deployment ceiling — the SQLite checkpointer does not scale past one process; a multi-replica deployment needs a Postgres or Redis checkpointer instead.</w:t>
      </w:r>
    </w:p>
    <w:p>
      <w:pPr>
        <w:pStyle w:val="ListParagraph"/>
        <w:numPr>
          <w:ilvl w:val="0"/>
          <w:numId w:val="1"/>
        </w:numPr>
        <w:spacing w:after="80"/>
      </w:pPr>
      <w:r>
        <w:t xml:space="preserve">Ground truth does not cover PHI that may appear in narrative body text, only the synthetic header fields deliberately injected.</w:t>
      </w:r>
    </w:p>
    <w:p>
      <w:pPr>
        <w:pStyle w:val="ListParagraph"/>
        <w:numPr>
          <w:ilvl w:val="0"/>
          <w:numId w:val="1"/>
        </w:numPr>
        <w:spacing w:after="80"/>
      </w:pPr>
      <w:r>
        <w:t xml:space="preserve">Scanned/image-only PDFs require OCR (extract_pdf_with_ocr), which exists but is not wired into the default upload path.</w:t>
      </w:r>
    </w:p>
    <w:p>
      <w:pPr>
        <w:pStyle w:val="ListParagraph"/>
        <w:numPr>
          <w:ilvl w:val="0"/>
          <w:numId w:val="1"/>
        </w:numPr>
        <w:spacing w:after="80"/>
      </w:pPr>
      <w:r>
        <w:t xml:space="preserve">No input size limit — neither the API nor the LLM classification path caps document size, a real gap for memory usage or LLM token cost, not just a missed optimization.</w:t>
      </w:r>
    </w:p>
    <w:p>
      <w:pPr>
        <w:pStyle w:val="ListParagraph"/>
        <w:numPr>
          <w:ilvl w:val="0"/>
          <w:numId w:val="1"/>
        </w:numPr>
        <w:spacing w:after="80"/>
      </w:pPr>
      <w:r>
        <w:t xml:space="preserve">No cross-document memory, deliberately — a human reviewer's decision on one document does not influence confidence scoring on a later, unrelated document (Section 2.2). Letting one patient's review quietly change another patient's automated behavior would be a real audit/correctness risk for a compliance tool, not a missed feature.</w:t>
      </w:r>
    </w:p>
    <w:p>
      <w:pPr>
        <w:pStyle w:val="ListParagraph"/>
        <w:numPr>
          <w:ilvl w:val="0"/>
          <w:numId w:val="1"/>
        </w:numPr>
        <w:spacing w:after="80"/>
      </w:pPr>
      <w:r>
        <w:t xml:space="preserve">Confidence calibration for the new header_person_recognizer (Section 6.5) is a single hand-picked score (0.8), not statistically validated beyond the confirmatory eval re-run — same caveat as the pre-existing per-type thresholds above.</w:t>
      </w:r>
    </w:p>
    <w:p>
      <w:pPr>
        <w:pStyle w:val="ListParagraph"/>
        <w:numPr>
          <w:ilvl w:val="0"/>
          <w:numId w:val="1"/>
        </w:numPr>
        <w:spacing w:after="80"/>
      </w:pPr>
      <w:r>
        <w:t>Redaction uses a single uniform method -- every approved span becomes a fixed [TYPE] placeholder (RedactionAgent) -- rather than differentiated methods some alternative implementations use, such as pseudonymization with a consistent token mapping (the same identifier resolves to the same fake value everywhere in a document), date-shifting, or generalization. Uniform placeholders keep matching against ground truth and compliance checks deterministic and simple; the trade-off is that two mentions of the same patient's name both become the identical [PERSON] token, which is sufficient for Safe Harbor compliance but would need pseudonymization if a downstream use case needed to distinguish between patients across a redacted corpus.</w:t>
      </w:r>
    </w:p>
    <w:p>
      <w:pPr>
        <w:pStyle w:val="Heading1"/>
        <w:spacing w:after="160" w:before="360"/>
      </w:pPr>
      <w:r>
        <w:t>10. Conclusion</w:t>
      </w:r>
    </w:p>
    <w:p>
      <w:pPr>
        <w:spacing w:after="160"/>
      </w:pPr>
      <w:r>
        <w:t xml:space="preserve">This project delivers a working, tested, multi-agent PHI de-identification pipeline that goes meaningfully beyond a single-pass detect-and-redact script: it makes an explicit, calibrated decision about when to trust its own detections versus when to ask a human, it re-validates its own output before returning it, and it keeps a full audit trail of every decision made along the way. A second hardening pass extended it further into optional LLM-augmented classification with retrieval-augmented few-shot prompting, a measured ablation study, systematic error analysis, explicit collaboration-topology and memory-architecture design documentation, observability, and a live pipeline-progress UI — reaching a final confirmed OVERALL F1 of 0.6619 with recall essentially saturated (2,149 of 2,150 labeled spans caught). Just as importantly, the numbers and bug fixes documented in this report are real — every evaluation figure comes from an actual execution of the evaluation harness, and every bug in Section 6 was found through genuine debugging, live testing, or systematic error analysis, not hypothesized or assumed. That discipline — measure, don't assume; verify a fix before claiming it — is the throughline of how this system was built.</w:t>
      </w:r>
    </w:p>
    <w:p>
      <w:pPr>
        <w:pStyle w:val="Heading1"/>
        <w:spacing w:after="160" w:before="360"/>
      </w:pPr>
      <w:r>
        <w:t xml:space="preserve">Appendix A: Repository Structure</w:t>
      </w:r>
    </w:p>
    <w:p>
      <w:pPr>
        <w:spacing w:after="160"/>
      </w:pPr>
      <w:r>
        <w:t>graph/ — GraphState definition and StateGraph wiring (nodes, conditional edges, retry loop, escalation path, checkpointer, streaming variants). agents/ — one module per LangGraph node (classification with optional LLM+RAG backend, phi_detection, phi_validation, llm_adjudication (optional agentic tier), human_review, redaction (+ escalation_redaction_agent), compliance_validation (+ escalate_to_review / escalation_review_agent), audit_report). storage/ — audit_store.py, the persistent SQLAlchemy audit trail, separate from the LangGraph checkpointer. observability/ — llm_metrics.py, real per-call LLM token/cost tracking. tracing.py — LangSmith tracing helpers. api/ — FastAPI application (POST /redact(+/stream), POST /redact/upload(+/stream), POST /redact/resume(+/stream), POST /redact/batch, GET /health, GET /records, GET /records/{id}/audit). app/ — Streamlit UI (redaction workflow + evaluation dashboard). ingestion/ — file-to-text extraction (.txt/.pdf/.docx). scripts/ — dataset generation and demo file generation. eval/ — evaluate.py (the evaluation harness), ablation_study.py, error_analysis.py, and their .csv/.md/.json output. data/ — the labeled dataset (txt_format/pdf_format/docx_format), ground_truth.json, and audit.sqlite (created on first run). tests/ — integration, ingestion, LLM-adjudication, audit-sanitization, batch, retry-escalation, and compliance-check tests (51 total). .github/workflows/ — CI (pytest on every push). Dockerfile, start.sh — Hugging Face Spaces deployment path. .env.example — documents every environment variable this project reads.</w:t>
      </w:r>
    </w:p>
    <w:p>
      <w:pPr>
        <w:pStyle w:val="Heading2"/>
        <w:spacing w:after="120" w:before="280"/>
      </w:pPr>
      <w:r>
        <w:t xml:space="preserve">How to run</w:t>
      </w:r>
    </w:p>
    <w:p>
      <w:pPr>
        <w:spacing w:after="160"/>
      </w:pPr>
      <w:r>
        <w:t xml:space="preserve">Full setup, evaluation, testing, and run instructions for both the API and the Streamlit UI are documented in the repository README.md, including the exact commands used to produce every number in Section 5 of this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5E5A"/>
        <w:sz w:val="16"/>
        <w:szCs w:val="16"/>
      </w:rPr>
      <w:t xml:space="preserve">PHI De-identification &amp; Compliance Workflow — Capstone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2026-07-25T08:46:21.618Z</dcterms:created>
  <dcterms:modified xsi:type="dcterms:W3CDTF">2026-07-25T08:46:21.635Z</dcterms:modified>
</cp:coreProperties>
</file>

<file path=docProps/custom.xml><?xml version="1.0" encoding="utf-8"?>
<Properties xmlns="http://schemas.openxmlformats.org/officeDocument/2006/custom-properties" xmlns:vt="http://schemas.openxmlformats.org/officeDocument/2006/docPropsVTypes"/>
</file>