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Augmentation of the OKN-Guard Architecture: Integrating Conformal False-Discovery Control and Counterfactual Falsification for Biomedical Claim Verification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large language models with biomedical knowledge graphs has fundamentally transformed the landscape of computational biology and clinical informatics. The baseline OKN-Guard framework proposes a highly structured, provenance-aware, multi-agent architecture designed to decompose complex biomedical queries into explicit, auditable units of 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resolving entities across diverse identifier systems, retrieving structured evidence from knowledge graphs, and cross-referencing claims against scientific literature, the baseline system positions itself as a trustworthy biomedical evidence-orchestration platform rather than a generalized medical chatbot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rigorous analysis of the 2025–2026 biomedical artificial intelligence ecosystem reveals that the foundational concepts underpinning the original OKN-Guard proposal—specifically multi-agent orchestration, dual-channel evidence reconciliation, and atomic claim decomposition—have rapidly commoditized into industry standards. To elevate this project from an applied systems engineering demonstration into a highly novel, defensible algorithmic contribution, the framework must solve higher-order problems concerning statistical risk bounding and active hypothesis falsification. This report comprehensively evaluates the baseline architecture, identifies critical novelty deficits, and introduces a dual-pronged algorithmic augmentation: Conformal False-Discovery Control and Counterfactual Falsification via Adversarial Graph Perturbation.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Baseline Architecture and the Novelty Deficit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OKN-Guard system successfully addresses several historical vulnerabilities in generative biomedical systems. Early generative models suffered from representation gaps, identity gaps, semantic gaps, and evidence gaps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proposed architecture mitigates these by strictly separating language model reasoning (such as interpretation and claim decomposition) from deterministic code handling identifier resolution and query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baseline system mandates that every entity mention resolves to a canonical record, preventing the spontaneous hallucination of identifiers from the neural network's parametric memory. Furthermore, the inclusion of an evidence ledger that explicitly records exact SPARQL queries, raw database rows, graph versions, and retrieval timestamps provides a robust foundation for reproducibility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structural strengths, the defensibility of OKN-Guard’s novelty is highly precarious. The baseline project guide explicitly acknowledges that utilizing multiple agents, querying biomedical knowledge graphs, searching PubMed, and combining literature with structured graph data no longer constitute defensible research contributions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advancements in the field corroborate this assessment.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advanced retrieval-augmented generation (RAG) frameworks has effectively saturated the domain of claim-level verification. For instance, MedRAGChecker, introduced in early 2026, already decomposes long-form biomedical answers into atomic claims and estimates support by fusing evidence-grounded natural language inference with biomedical knowledge-graph consistency signals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the TripleCheck framework operates as a post-hoc verification layer that breaks generative answers into factual triples, verifying each against retrieved context and large-scale biomedical knowledge graphs to highlight supported, unsupported, and misattributed statements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hypothesis generation frameworks such as BioDisco and DeepEvidence have successfully operationalized multi-agent systems that utilize dual-mode evidence and deep knowledge graph exploration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systems natively coordinate broad and deep exploration across billion-edge graphs, utilizing degree-aware partitioning and cross-graph routing to preserve retrieval fidelity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a system that merely orchestrates evidence retrieval and passive verification—such as the baseline OKN-Guard—fails to push the theoretical boundaries of the discipline.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Addressed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Remaining Vulnerabilities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OKN-Guard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atomic decomposition, deterministic identity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Identifier hallucination, provenance tracking, semantic predicate drift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statistical guarantees on error rates; relies on passive verification; susceptible to confirmation bias.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MedRAGChecker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Fuses NLI with KG consistency signals for claim-level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Whole-answer hallucination hiding, isolated factual errors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Verdicts rely on uncalibrated point estimates; cannot guarantee maximum false discovery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TripleCheck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Post-hoc verification checking triples against literature and KGs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Lack of traceability, misattribution in generative QA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passively; does not dynamically test the structural robustness of the retrieved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BioDisco / DeepEvidence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Dual-mode evidence hypothesis generation, deep KG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Scalability bottlenecks in multi-hop reasoning over deep structures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Prone to accepting spurious observational associations as causal mechanisms.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definitive state-of-the-art capability, the OKN-Guard framework must transition from a paradigm of </w:t>
      </w:r>
      <w:r w:rsidDel="00000000" w:rsidR="00000000" w:rsidRPr="00000000">
        <w:rPr>
          <w:rFonts w:ascii="Google Sans" w:cs="Google Sans" w:eastAsia="Google Sans" w:hAnsi="Google Sans"/>
          <w:i w:val="1"/>
          <w:iCs w:val="1"/>
          <w:color w:val="1f1f1f"/>
          <w:rtl w:val="0"/>
        </w:rPr>
        <w:t xml:space="preserve">evidence orchestration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i w:val="1"/>
          <w:iCs w:val="1"/>
          <w:color w:val="1f1f1f"/>
          <w:rtl w:val="0"/>
        </w:rPr>
        <w:t xml:space="preserve">risk-controlled falsification</w:t>
      </w:r>
      <w:r w:rsidDel="00000000" w:rsidR="00000000" w:rsidRPr="00000000">
        <w:rPr>
          <w:rFonts w:ascii="Google Sans" w:cs="Google Sans" w:eastAsia="Google Sans" w:hAnsi="Google Sans"/>
          <w:color w:val="1f1f1f"/>
          <w:rtl w:val="0"/>
        </w:rPr>
        <w:t xml:space="preserve">. The baseline document identifies a critical vulnerability in its own design: the production of a confidence score without a validated calibration method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suggests that verifier-aware decomposition or calibrated evidence scoring could serve as an algorithmic contribution. Expanding upon this requirement, the subsequent sections detail the integration of distribution-free statistical guarantees and adversarial counterfactual testing to forge a highly novel architecture.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Algorithmic Augmentation: Conformal False-Discovery Control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limitation of modern biomedical claim verification systems is their reliance on heuristic scoring mechanisms. When a system evaluates an atomic claim, it typically emits a soft support score (e.g., a softmax probability or an LLM-as-a-judge scalar). However, these point estimates are notoriously uncalibrated and fail to provide finite-sample coverage guarantees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researcher asks a system to rank genes associated with Alzheimer's disease and the system outputs fifty distinct claims, a traditional thresholding approach provides no mathematical assurance regarding how many of those fifty claims are false discoveries.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OKN-Guard must incorporate Conformal False-Discovery Control (CFDC), transforming the system's output from an opaque ranked list into a statistically calibrated set of predictions with distribution-free validity.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Conformal Prediction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Conformal Prediction (CP) is a sophisticated statistical framework that constructs prediction sets guaranteed to contain the true label with a user-specified high probability, relying solely on the assumption that the data points are exchangeable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Unlike Bayesian uncertainty quantification, conformal prediction does not require strong distributional assumptions regarding the underlying data generation process, making it highly suitable for the unpredictable distributions of biomedical literature and graph connectivity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augmented OKN-Guard architecture, every atomic claim generated by the decomposition agent is treated as a hypothesis requiring statistical validation. A scoring function—such as a dense retriever or an instruction-tuned LLM evaluator—assigns a non-conformity score to each claim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score represents the degree of mismatch between the claim's semantics and the retrieved evidence.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these raw scores into rigorous probabilities, the system maintains a held-out calibration dataset of manually verified biomedical claims (comprising true positives, true negatives, and hard adversarial negatives). For every new atomic claim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3"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test set, the system evaluates its non-conformity score </w:t>
      </w:r>
      <w:r w:rsidDel="00000000" w:rsidR="00000000" w:rsidRPr="00000000">
        <w:rPr>
          <w:rFonts w:ascii="Google Sans" w:cs="Google Sans" w:eastAsia="Google Sans" w:hAnsi="Google Sans"/>
          <w:color w:val="1f1f1f"/>
        </w:rPr>
        <w:drawing>
          <wp:inline distB="19050" distT="19050" distL="19050" distR="19050">
            <wp:extent cx="149066" cy="238506"/>
            <wp:effectExtent b="0" l="0" r="0" t="0"/>
            <wp:docPr id="2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49066" cy="238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empirical distribution of non-conformity scores from the calibration set. The resulting conformal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represents the probability of observing a non-conformity score as extreme as </w:t>
      </w:r>
      <w:r w:rsidDel="00000000" w:rsidR="00000000" w:rsidRPr="00000000">
        <w:rPr>
          <w:rFonts w:ascii="Google Sans" w:cs="Google Sans" w:eastAsia="Google Sans" w:hAnsi="Google Sans"/>
          <w:color w:val="1f1f1f"/>
        </w:rPr>
        <w:drawing>
          <wp:inline distB="19050" distT="19050" distL="19050" distR="19050">
            <wp:extent cx="149066" cy="238506"/>
            <wp:effectExtent b="0" l="0" r="0" t="0"/>
            <wp:docPr id="2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49066" cy="238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assuming the null hypothesis (that the claim is unsupported or hallucinated) is true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Controlling the False Discovery Rate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Biomedical analyses frequently generate compound responses containing dozens or hundreds of atomic assertions, such as pathway enrichment studies or cross-KG multi-hop queries. Evaluating each claim independently at a fixed significance level results in the multiple testing problem, where the probability of committing at least one Type I error (a false positive) approaches certainty as the number of claims increases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Family-Wise Error Rate (FWER) controlled by the Bonferroni correction is excessively conservative and would result in the system abstaining from answering most complex questions, the False Discovery Rate (FDR) offers a highly practical alternative. The FDR is defined as the expected ratio of false positive classifications to the total number of positive classifications (rejections of the null hypothesis)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Controlling the FDR ensures that out of all the claims the system presents as "Supported," only a user-defined fraction will be erroneous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Benjamini-Hochberg (BH) procedure provides a scalable, step-up mechanism to control the FDR when test statistics are independent or exhibit positive regression dependency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algorithm is operationalized within OKN-Guard as follows: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Obtain the conformal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for all </w:t>
      </w:r>
      <w:r w:rsidDel="00000000" w:rsidR="00000000" w:rsidRPr="00000000">
        <w:rPr>
          <w:rFonts w:ascii="Google Sans" w:cs="Google Sans" w:eastAsia="Google Sans" w:hAnsi="Google Sans"/>
          <w:color w:val="1f1f1f"/>
        </w:rPr>
        <w:drawing>
          <wp:inline distB="19050" distT="19050" distL="19050" distR="19050">
            <wp:extent cx="172045" cy="250248"/>
            <wp:effectExtent b="0" l="0" r="0" t="0"/>
            <wp:docPr id="2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72045" cy="25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atomic claims generated in a given response.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Sort the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in ascending order such that </w:t>
      </w:r>
      <w:r w:rsidDel="00000000" w:rsidR="00000000" w:rsidRPr="00000000">
        <w:rPr>
          <w:rFonts w:ascii="Google Sans" w:cs="Google Sans" w:eastAsia="Google Sans" w:hAnsi="Google Sans"/>
          <w:color w:val="1f1f1f"/>
        </w:rPr>
        <w:drawing>
          <wp:inline distB="19050" distT="19050" distL="19050" distR="19050">
            <wp:extent cx="1916316" cy="244311"/>
            <wp:effectExtent b="0" l="0" r="0" t="0"/>
            <wp:docPr id="3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916316" cy="244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 a user-defined risk budget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w:t>
      </w:r>
      <w:r w:rsidDel="00000000" w:rsidR="00000000" w:rsidRPr="00000000">
        <w:rPr>
          <w:rFonts w:ascii="Google Sans" w:cs="Google Sans" w:eastAsia="Google Sans" w:hAnsi="Google Sans"/>
          <w:color w:val="1f1f1f"/>
        </w:rPr>
        <w:drawing>
          <wp:inline distB="19050" distT="19050" distL="19050" distR="19050">
            <wp:extent cx="735925" cy="245308"/>
            <wp:effectExtent b="0" l="0" r="0" t="0"/>
            <wp:docPr id="3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735925" cy="245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capping false discoveries at 5%), identify the largest rank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satisfies the inequality: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02883"/>
            <wp:effectExtent b="0" l="0" r="0" t="0"/>
            <wp:docPr id="3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05500" cy="80288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Reject the null hypothesis for all claims corresponding to ranks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3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thereby classifying them as "Supported."</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Abstain from asserting the remaining claims, categorizing them as "Insufficient Evidence"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Alternatively, this logic can be expressed by calculating BH-adjusted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frequently referred to as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3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The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3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represents the smallest FDR at which a specific test would be considered significant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formula for the adjusted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is defined 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4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claim is subsequently accepted if its </w:t>
      </w:r>
      <w:r w:rsidDel="00000000" w:rsidR="00000000" w:rsidRPr="00000000">
        <w:rPr>
          <w:rFonts w:ascii="Google Sans" w:cs="Google Sans" w:eastAsia="Google Sans" w:hAnsi="Google Sans"/>
          <w:color w:val="1f1f1f"/>
        </w:rPr>
        <w:drawing>
          <wp:inline distB="19050" distT="19050" distL="19050" distR="19050">
            <wp:extent cx="864394" cy="244784"/>
            <wp:effectExtent b="0" l="0" r="0" t="0"/>
            <wp:docPr id="4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864394" cy="244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less than or equal to the target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Control Method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Metric Controlled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Assumption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Suitability in OKN-Guard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Unadjusted </w:t>
            </w:r>
            <w:r w:rsidDel="00000000" w:rsidR="00000000" w:rsidRPr="00000000">
              <w:rPr>
                <w:rFonts w:ascii="Google Sans" w:cs="Google Sans" w:eastAsia="Google Sans" w:hAnsi="Google Sans"/>
                <w:b w:val="1"/>
                <w:bCs w:val="1"/>
                <w:color w:val="1f1f1f"/>
              </w:rPr>
              <w:drawing>
                <wp:inline distB="19050" distT="19050" distL="19050" distR="19050">
                  <wp:extent cx="98584" cy="262890"/>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-values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Per-Comparison Error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 highly prone to hallucination inflation in multi-claim responses.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Bonferroni Correction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Family-Wise Error Rate (FWER)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Independence of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Excessively conservative; severely limits exploratory biomedical discovery.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Benjamini-Hochberg (BH)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Discovery Rate (FDR)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Independence or positive dependence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suitable for standard literature retrieval and isolated KG queries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Benjamini-Yekutieli (BY)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Discovery Rate (FDR)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Arbitrary dependence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interconnected KG topologies where assertions are highly correlated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of the Benjamini-Yekutieli (BY) procedure becomes apparent when analyzing deep knowledge graph structures. Because assertions in a graph (e.g., Gene A regulates Gene B, Gene B regulates Protein C) exhibit arbitrary dependence, the standard BH procedure can occasionally fail to control the FDR at the nominal level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BY procedure modifies the critical threshold by incorporating a harmonic number penalty: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5565"/>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05500" cy="83556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guarantees FDR control under arbitrary dependence, ensuring that OKN-Guard's statistical bounds remain intact even when analyzing highly correlated biological pathways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Implementation of Conformal Controls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CFDC within OKN-Guard's scoring services avoids the necessity of training bespoke neural architectures from scratch. The Python ecosystem offers robust, open-source libraries dedicated to conformal prediction, notably MAPIE (Model Agnostic Prediction Interval Estimator) and crepes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MAPIE provides a scikit-learn compatible interface that wraps around any base estimator, allowing developers to compute calibrated prediction intervals and prediction sets for classification tasks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utilizing MapieClassifier, the system can process the softmax outputs or LLM logits on the calibration set to establish the conformity scores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Concurrently, the crepes package implements standard and Mondrian conformal classifiers and regressors, turning original predictions into well-calibrated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with strict coverage guarantees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embedding these libraries into the services/scoring.py module, OKN-Guard bridges the gap between raw semantic retrieval and statistically bound risk management.</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Algorithmic Augmentation: Counterfactual Falsification via Adversarial Debate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Conformal FDR Control mathematically guarantees that the system's outputs are calibrated against the retrieved evidence, it cannot compensate for systemic biases inherent in the evidence itself. Biomedical knowledge graphs frequently contain spurious observational associations that masquerade as causal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graph encodes a generic, heavily researched biomarker with thousands of generic edges, a standard RAG pipeline will confidently retrieve and support hallucinated causal links due to the overwhelming volume of circumstantial data.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models exacerbate this issue through severe confirmation bias, often hallucinating synthetic logical chains to support an initial, potentially erroneous diagnostic hypothesis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baseline OKN-Guard workflow utilizes a linear verification approach, comparing evidence against claim semantics passively. To achieve true novelty, this passive verification must be replaced with active falsification.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Shift: From Verification to Falsification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Inspired by the scientific method, a biomedical claim should not be considered valid merely because supportive evidence can be found; it must withstand rigorous, active attempts at falsification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integration of a Counterfactual Adversarial Multi-Agent Debate directly confronts the confirmation bias intrinsic to single-agent RAG pipelines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discards the linear flow and introduces a dynamic, multi-agent dialectic comprising three specialized personas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Proponent Agent:</w:t>
      </w:r>
      <w:r w:rsidDel="00000000" w:rsidR="00000000" w:rsidRPr="00000000">
        <w:rPr>
          <w:rFonts w:ascii="Google Sans" w:cs="Google Sans" w:eastAsia="Google Sans" w:hAnsi="Google Sans"/>
          <w:color w:val="1f1f1f"/>
          <w:rtl w:val="0"/>
        </w:rPr>
        <w:t xml:space="preserve"> Responsible for hypothesis generation. This agent decomposes the user query, formulates SPARQL queries, retrieves supporting literature passages, and constructs an initial logical chain-of-thought arguing for the claim's validity.</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Opponent Agent (The Falsifier):</w:t>
      </w:r>
      <w:r w:rsidDel="00000000" w:rsidR="00000000" w:rsidRPr="00000000">
        <w:rPr>
          <w:rFonts w:ascii="Google Sans" w:cs="Google Sans" w:eastAsia="Google Sans" w:hAnsi="Google Sans"/>
          <w:color w:val="1f1f1f"/>
          <w:rtl w:val="0"/>
        </w:rPr>
        <w:t xml:space="preserve"> Engineered explicitly to invalidate the Proponent's logic. Rather than executing neutral searches, the Opponent generates targeted contradiction queries (e.g., searching for null results, well-powered studies reporting no association, or explicitly contradictory clinical trial outcomes). Crucially, the Opponent executes counterfactual graph perturbations to test the structural integrity of the evidence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Judge Agent:</w:t>
      </w:r>
      <w:r w:rsidDel="00000000" w:rsidR="00000000" w:rsidRPr="00000000">
        <w:rPr>
          <w:rFonts w:ascii="Google Sans" w:cs="Google Sans" w:eastAsia="Google Sans" w:hAnsi="Google Sans"/>
          <w:color w:val="1f1f1f"/>
          <w:rtl w:val="0"/>
        </w:rPr>
        <w:t xml:space="preserve"> Evaluates the dialectical exchange. The Judge does not rely on subjective LLM consensus; it utilizes the Conformal FDR Control module to evaluate the surviving evidence, computing a conformal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based on how effectively the Proponent's evidence withstood the Opponent's falsification attempts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of Counterfactual Graph Perturbation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innovative capability within this adversarial framework is the Opponent Agent's use of in-silico counterfactual experiments directly on the knowledge graph topology. When the Proponent relies on a specific topological path to justify a claim (for example, traversing from a genetic variant, through a metabolic pathway, to a disease phenotype), the Opponent tests the necessity and sufficiency of that path via edge deletion and node masking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advanced graph processing libraries such as PyTorch Geometric (PyG) or NetworkX, the system can manipulate the retrieved evidence subgraph</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NetworkX is highly effective for basic topological analysis and smaller subgraphs, PyTorch Geometric is increasingly the standard for applying graph neural network operations and handling heterogeneous graphs with complex node attributes, though converting between the two requires careful manual mapping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counterfactual falsification loop proceeds as follows: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Proponent constructs an evidence subgraph </w:t>
      </w:r>
      <w:r w:rsidDel="00000000" w:rsidR="00000000" w:rsidRPr="00000000">
        <w:rPr>
          <w:rFonts w:ascii="Google Sans" w:cs="Google Sans" w:eastAsia="Google Sans" w:hAnsi="Google Sans"/>
          <w:color w:val="1f1f1f"/>
        </w:rPr>
        <w:drawing>
          <wp:inline distB="19050" distT="19050" distL="19050" distR="19050">
            <wp:extent cx="299204" cy="251961"/>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99204" cy="251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logical foundation of the claim.</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Opponent analyzes </w:t>
      </w:r>
      <w:r w:rsidDel="00000000" w:rsidR="00000000" w:rsidRPr="00000000">
        <w:rPr>
          <w:rFonts w:ascii="Google Sans" w:cs="Google Sans" w:eastAsia="Google Sans" w:hAnsi="Google Sans"/>
          <w:color w:val="1f1f1f"/>
        </w:rPr>
        <w:drawing>
          <wp:inline distB="19050" distT="19050" distL="19050" distR="19050">
            <wp:extent cx="299204" cy="251961"/>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99204" cy="251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identify critical, load-bearing assertions (edges with high information-flow centrality).</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Opponent executes a perturbation, artificially deleting these specific edges to create a counterfactual scenario </w:t>
      </w:r>
      <w:r w:rsidDel="00000000" w:rsidR="00000000" w:rsidRPr="00000000">
        <w:rPr>
          <w:rFonts w:ascii="Google Sans" w:cs="Google Sans" w:eastAsia="Google Sans" w:hAnsi="Google Sans"/>
          <w:color w:val="1f1f1f"/>
        </w:rPr>
        <w:drawing>
          <wp:inline distB="19050" distT="19050" distL="19050" distR="19050">
            <wp:extent cx="299204" cy="251961"/>
            <wp:effectExtent b="0" l="0" r="0" t="0"/>
            <wp:docPr id="2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99204" cy="251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then queries the wider knowledge graph and literature to determine if the claim holds via alternative mechanisms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the Proponent's claim collapses upon the removal of a single, weakly supported edge (such as an edge representing a pre-clinical animal model rather than a human trial), the Opponent flags the evidence as structurally brittle.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Opponent actively hunts for causal inference violations, such as collider bias or unadjusted confounders. For example, if adjusting for a specific inflammatory marker opens a non-causal backdoor pathway, the Opponent highlights this methodological flaw in the source literature, preventing the system from inflating an observational association into a causal fact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dynamic perturbation transforms the knowledge graph from a static repository into an interactive testing environment, directly fulfilling the baseline project's requirement for semantic-strength guardrails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Integrated RAG-F Pipeline: Architecture and Workflow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Conformal False-Discovery Control and Counterfactual Adversarial Falsification fundamentally upgrades the OKN-Guard framework into what can be termed the RAG-F (Rigorous Auditing via Guaranteed Falsification) Pipeline. This requires a comprehensive restructuring of the system's data contracts, module layout, and execution flow.</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Restructured Data Contracts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structured objects must be expanded to accommodate the adversarial dialectic and statistical bounding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Upgraded Purpose and Attributes in RAG-F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AtomicClaim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Preserves source spans and qualifiers, while now tracking proponent_evidence_chain, opponent_falsification_attempts, and counterfactual_survival_status.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claim alignment and provenance, additionally tracking perturbation_state (resilience under edge deletion) and dependence_flag (triggering BY adjustment).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Replaces heuristic verdicts with rigorous statistics. Stores conformal_p_value, bh_adjusted_q_value, the user-defined fdr_alpha_threshold, and the final bounded verdict.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Collects the entire dialectical trace, mathematical FDR guarantees, reproducibility metadata, and limits of evidence.</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Implementation Layout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16-week project plan must adapt to accommodate these advanced modules, replacing passive verification scripts with dynamic agent environments and statistical engines.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agents/adversarial_debate.py: Orchestrates the Proponent, Opponent, and Judge interaction over multi-turn iterations, utilizing LangGraph state machines to manage the perception-refinement-execution loops required for coordinated cognitive manipulation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services/falsification.py: Manages the counterfactual graph perturbations. This module integrates PyTorch Geometric to calculate edge centrality and simulate node masking on the Proto-OKN subgraphs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services/scoring.py: Replaces the legacy scoring service. Integrates crepes or mapie to map retrieved evidence densities and falsification survival rates into conformal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subsequently applying the BH or BY step-up procedures based on the dependence_flag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Execution Trace Demonstration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To illustrate the augmented system's capability, consider a complex biomedical analysis request: </w:t>
      </w:r>
      <w:r w:rsidDel="00000000" w:rsidR="00000000" w:rsidRPr="00000000">
        <w:rPr>
          <w:rFonts w:ascii="Google Sans" w:cs="Google Sans" w:eastAsia="Google Sans" w:hAnsi="Google Sans"/>
          <w:i w:val="1"/>
          <w:iCs w:val="1"/>
          <w:color w:val="1f1f1f"/>
          <w:rtl w:val="0"/>
        </w:rPr>
        <w:t xml:space="preserve">"Identify pathways connecting APOE to Alzheimer's disease, and determine if targeting these pathways reduces clinical disease progression. Ensure a maximum false discovery rate of 10%."</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Decomposition and Planning:</w:t>
      </w:r>
      <w:r w:rsidDel="00000000" w:rsidR="00000000" w:rsidRPr="00000000">
        <w:rPr>
          <w:rFonts w:ascii="Google Sans" w:cs="Google Sans" w:eastAsia="Google Sans" w:hAnsi="Google Sans"/>
          <w:color w:val="1f1f1f"/>
          <w:rtl w:val="0"/>
        </w:rPr>
        <w:t xml:space="preserve"> The system parses the request, setting the global risk budget </w:t>
      </w:r>
      <w:r w:rsidDel="00000000" w:rsidR="00000000" w:rsidRPr="00000000">
        <w:rPr>
          <w:rFonts w:ascii="Google Sans" w:cs="Google Sans" w:eastAsia="Google Sans" w:hAnsi="Google Sans"/>
          <w:color w:val="1f1f1f"/>
        </w:rPr>
        <w:drawing>
          <wp:inline distB="19050" distT="19050" distL="19050" distR="19050">
            <wp:extent cx="735925" cy="245308"/>
            <wp:effectExtent b="0" l="0" r="0" t="0"/>
            <wp:docPr id="2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35925" cy="245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input is decomposed into separate claims regarding associations, mechanisms, and clinical efficacy. Entities (APOE, Alzheimer's disease) are deterministically resolved to HGNC and MONDO identifiers, retaining full provenance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Proponent Action:</w:t>
      </w:r>
      <w:r w:rsidDel="00000000" w:rsidR="00000000" w:rsidRPr="00000000">
        <w:rPr>
          <w:rFonts w:ascii="Google Sans" w:cs="Google Sans" w:eastAsia="Google Sans" w:hAnsi="Google Sans"/>
          <w:color w:val="1f1f1f"/>
          <w:rtl w:val="0"/>
        </w:rPr>
        <w:t xml:space="preserve"> The Proponent Agent constructs live SPARQL queries against Proto-OKN, retrieving a dense subgraph connecting APOE to amyloid-beta clearance pathways. It simultaneously retrieves PubMed literature suggesting that these pathways mediate disease progression.</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Opponent Falsification:</w:t>
      </w:r>
      <w:r w:rsidDel="00000000" w:rsidR="00000000" w:rsidRPr="00000000">
        <w:rPr>
          <w:rFonts w:ascii="Google Sans" w:cs="Google Sans" w:eastAsia="Google Sans" w:hAnsi="Google Sans"/>
          <w:color w:val="1f1f1f"/>
          <w:rtl w:val="0"/>
        </w:rPr>
        <w:t xml:space="preserve"> The Opponent Agent intercepts the evidence. It performs edge deletion on the amyloid-beta clearance nodes, testing if alternative pathways exist. More critically, it targets the clinical efficacy claim. It constructs contradiction queries focusing on clinical trials. The Opponent retrieves recent Phase III trial data demonstrating that while amyloid-beta clearance occurred, it did not significantly halt cognitive decline in specific cohorts.</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Semantic Rebuttal:</w:t>
      </w:r>
      <w:r w:rsidDel="00000000" w:rsidR="00000000" w:rsidRPr="00000000">
        <w:rPr>
          <w:rFonts w:ascii="Google Sans" w:cs="Google Sans" w:eastAsia="Google Sans" w:hAnsi="Google Sans"/>
          <w:color w:val="1f1f1f"/>
          <w:rtl w:val="0"/>
        </w:rPr>
        <w:t xml:space="preserve"> The Opponent flags a semantic-strength violation, noting that the Proponent conflated an observational mechanistic pathway with validated clinical treatment efficacy, warning of potential collider bias in the observational studies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Judge Evaluation and Conformal Scoring:</w:t>
      </w:r>
      <w:r w:rsidDel="00000000" w:rsidR="00000000" w:rsidRPr="00000000">
        <w:rPr>
          <w:rFonts w:ascii="Google Sans" w:cs="Google Sans" w:eastAsia="Google Sans" w:hAnsi="Google Sans"/>
          <w:color w:val="1f1f1f"/>
          <w:rtl w:val="0"/>
        </w:rPr>
        <w:t xml:space="preserve"> The Judge reviews the dialectic. The claim that APOE is associated with the pathway survives falsification and receives a highly significant conformal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(e.g.,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claim regarding clinical efficacy is severely weakened by the Opponent's findings, receiving a marginal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(e.g.,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FDR Control Application:</w:t>
      </w:r>
      <w:r w:rsidDel="00000000" w:rsidR="00000000" w:rsidRPr="00000000">
        <w:rPr>
          <w:rFonts w:ascii="Google Sans" w:cs="Google Sans" w:eastAsia="Google Sans" w:hAnsi="Google Sans"/>
          <w:color w:val="1f1f1f"/>
          <w:rtl w:val="0"/>
        </w:rPr>
        <w:t xml:space="preserve"> The services/scoring.py module aggregates all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from the response and applies the Benjamini-Hochberg procedure. Because the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for the clinical efficacy claim exceeds the user-defined </w:t>
      </w:r>
      <w:r w:rsidDel="00000000" w:rsidR="00000000" w:rsidRPr="00000000">
        <w:rPr>
          <w:rFonts w:ascii="Google Sans" w:cs="Google Sans" w:eastAsia="Google Sans" w:hAnsi="Google Sans"/>
          <w:color w:val="1f1f1f"/>
        </w:rPr>
        <w:drawing>
          <wp:inline distB="19050" distT="19050" distL="19050" distR="19050">
            <wp:extent cx="735925" cy="245308"/>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35925" cy="245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statistically rejected.</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Final Audit Report:</w:t>
      </w:r>
      <w:r w:rsidDel="00000000" w:rsidR="00000000" w:rsidRPr="00000000">
        <w:rPr>
          <w:rFonts w:ascii="Google Sans" w:cs="Google Sans" w:eastAsia="Google Sans" w:hAnsi="Google Sans"/>
          <w:color w:val="1f1f1f"/>
          <w:rtl w:val="0"/>
        </w:rPr>
        <w:t xml:space="preserve"> The system outputs an inspectable report. It asserts the mechanistic association with complete provenance but explicitly abstains from confirming clinical efficacy, citing the counterfactual falsification trace, the exact clinical trial contradictions, and the mathematical FDR guarantee that governed the abstention.</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Evaluation Methodology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theoretical contributions of the RAG-F pipeline, standard evaluation metrics like basic recall, precision, or F1-scores are wholly inadequate. The evaluation framework must be expanded to interrogate the statistical guarantees and the robustness of the adversarial falsification.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Novel Metric Formulations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the augmented system relies on proving that the user-defined risk budgets hold true in practice and that the falsification engine accurately captures hallucinated causal links.</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Empirical False Discovery Rate (eFDR):</w:t>
      </w:r>
      <w:r w:rsidDel="00000000" w:rsidR="00000000" w:rsidRPr="00000000">
        <w:rPr>
          <w:rFonts w:ascii="Google Sans" w:cs="Google Sans" w:eastAsia="Google Sans" w:hAnsi="Google Sans"/>
          <w:color w:val="1f1f1f"/>
          <w:rtl w:val="0"/>
        </w:rPr>
        <w:t xml:space="preserve"> The primary statistical metric. Evaluated on a held-out test set, eFDR is calculated as </w:t>
      </w:r>
      <w:r w:rsidDel="00000000" w:rsidR="00000000" w:rsidRPr="00000000">
        <w:rPr>
          <w:rFonts w:ascii="Google Sans" w:cs="Google Sans" w:eastAsia="Google Sans" w:hAnsi="Google Sans"/>
          <w:color w:val="1f1f1f"/>
        </w:rPr>
        <w:drawing>
          <wp:inline distB="19050" distT="19050" distL="19050" distR="19050">
            <wp:extent cx="405884" cy="245062"/>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05884" cy="245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false discoveries (erroneous claims accepted as true) and </w:t>
      </w:r>
      <w:r w:rsidDel="00000000" w:rsidR="00000000" w:rsidRPr="00000000">
        <w:rPr>
          <w:rFonts w:ascii="Google Sans" w:cs="Google Sans" w:eastAsia="Google Sans" w:hAnsi="Google Sans"/>
          <w:color w:val="1f1f1f"/>
        </w:rPr>
        <w:drawing>
          <wp:inline distB="19050" distT="19050" distL="19050" distR="19050">
            <wp:extent cx="150138" cy="24022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50138" cy="240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accepted claims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evaluation must plot the empirical FDR against the target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various thresholds (e.g., 0.05, 0.10, 0.20) to mathematically prove system calibration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Counterfactual Flip Rate:</w:t>
      </w:r>
      <w:r w:rsidDel="00000000" w:rsidR="00000000" w:rsidRPr="00000000">
        <w:rPr>
          <w:rFonts w:ascii="Google Sans" w:cs="Google Sans" w:eastAsia="Google Sans" w:hAnsi="Google Sans"/>
          <w:color w:val="1f1f1f"/>
          <w:rtl w:val="0"/>
        </w:rPr>
        <w:t xml:space="preserve"> A measure of the Opponent Agent's efficacy. It calculates the percentage of claims initially supported by the Proponent that are successfully overturned and rejected following counterfactual graph perturbation and contradiction retrieval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low flip rate indicates a passive Opponent, while a high flip rate on a dataset known to contain observational confounders proves the utility of the falsification layer.</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Utility-Coverage Tradeoff Metrics:</w:t>
      </w:r>
      <w:r w:rsidDel="00000000" w:rsidR="00000000" w:rsidRPr="00000000">
        <w:rPr>
          <w:rFonts w:ascii="Google Sans" w:cs="Google Sans" w:eastAsia="Google Sans" w:hAnsi="Google Sans"/>
          <w:color w:val="1f1f1f"/>
          <w:rtl w:val="0"/>
        </w:rPr>
        <w:t xml:space="preserve"> Controlling the FDR inevitably increases abstentions. The evaluation must measure how the abstention rate (claims classified as "Insufficient Evidence") scales as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decreases. The system must demonstrate that it retains sufficient clinical utility (e.g., preserving over 85% of genuinely supported claims) while strictly bounding the false discovery rate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Engineering for Adversarial Testing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scientific claim verification benchmarks (such as SciFact) are insufficient because they often rely on clean, atomic claims that do not test heterogeneous knowledge graph joins or complex causal dependencies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dataset must be specifically engineered to include "hard negative" cases and adversarial injects. This involves creating test cases seeded with known confounders, collider biases, and historical biomedical retractions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example, injecting a test case where a drug is spuriously associated with a disease cure purely due to a shared metabolic artifact. If the RAG-F pipeline cannot successfully trigger a counterfactual flip and subsequently abstain from asserting the spurious claim, the FDR guarantees lose their practical clinical value. Frameworks like Bio-GRACE (Biomedical Gold-Reference Assessment of Contextual Evidence) can be adapted to measure how much decision utility is recovered by retrieved context relative to a trusted gold standard under these adversarial conditions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biomedical scientific community requires systems that provide more than fluent text generation or heuristic evidence retrieval. While the baseline OKN-Guard framework establishes a highly robust engineering foundation for managing biomedical knowledge graphs and literature, its reliance on passive verification and uncalibrated scoring leaves it vulnerable to obsolescence in the rapidly advancing landscape of generative AI.</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strategically expanding the framework to integrate </w:t>
      </w:r>
      <w:r w:rsidDel="00000000" w:rsidR="00000000" w:rsidRPr="00000000">
        <w:rPr>
          <w:rFonts w:ascii="Google Sans" w:cs="Google Sans" w:eastAsia="Google Sans" w:hAnsi="Google Sans"/>
          <w:b w:val="1"/>
          <w:bCs w:val="1"/>
          <w:color w:val="1f1f1f"/>
          <w:rtl w:val="0"/>
        </w:rPr>
        <w:t xml:space="preserve">Conformal False-Discovery Control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Counterfactual Adversarial Falsification</w:t>
      </w:r>
      <w:r w:rsidDel="00000000" w:rsidR="00000000" w:rsidRPr="00000000">
        <w:rPr>
          <w:rFonts w:ascii="Google Sans" w:cs="Google Sans" w:eastAsia="Google Sans" w:hAnsi="Google Sans"/>
          <w:color w:val="1f1f1f"/>
          <w:rtl w:val="0"/>
        </w:rPr>
        <w:t xml:space="preserve">, the project evolves from an applied integration exercise into a foundational algorithmic breakthrough. The RAG-F pipeline directly addresses the most critical limitations in modern biomedical informatics: the inability to provide mathematically sound, user-defined risk guarantees for multi-claim generations, and the susceptibility to confirmation bias when mining observational data.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rigorous application of Benjamini-Hochberg and Benjamini-Yekutieli procedures alongside dynamic graph perturbation, this architecture guarantees that biomedical assertions are not only grounded in auditable provenance but have survived active scientific falsification. Executing this augmented scope will firmly establish the research as a definitive, state-of-the-art contribution to trustworthy artificial intelligence and computational biology.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OKN_Guard_All_in_One_Project_Guide.docx</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MedRAGChecker: Claim-Level Verification for Biomedical Retrieval, </w:t>
      </w:r>
      <w:hyperlink r:id="rId28">
        <w:r w:rsidDel="00000000" w:rsidR="00000000" w:rsidRPr="00000000">
          <w:rPr>
            <w:rFonts w:ascii="Google Sans" w:cs="Google Sans" w:eastAsia="Google Sans" w:hAnsi="Google Sans"/>
            <w:color w:val="0000ee"/>
            <w:sz w:val="24"/>
            <w:szCs w:val="24"/>
            <w:u w:val="single"/>
            <w:rtl w:val="0"/>
          </w:rPr>
          <w:t xml:space="preserve">https://arxiv.org/abs/2601.06519</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MedRAGChecker: Claim-Level Verification for Biomedical Retrieval, </w:t>
      </w:r>
      <w:hyperlink r:id="rId29">
        <w:r w:rsidDel="00000000" w:rsidR="00000000" w:rsidRPr="00000000">
          <w:rPr>
            <w:rFonts w:ascii="Google Sans" w:cs="Google Sans" w:eastAsia="Google Sans" w:hAnsi="Google Sans"/>
            <w:color w:val="0000ee"/>
            <w:sz w:val="24"/>
            <w:szCs w:val="24"/>
            <w:u w:val="single"/>
            <w:rtl w:val="0"/>
          </w:rPr>
          <w:t xml:space="preserve">https://arxiv.org/pdf/2601.06519</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MedRAGChecker: Claim-Level Verification for Biomedical Retrieval, </w:t>
      </w:r>
      <w:hyperlink r:id="rId30">
        <w:r w:rsidDel="00000000" w:rsidR="00000000" w:rsidRPr="00000000">
          <w:rPr>
            <w:rFonts w:ascii="Google Sans" w:cs="Google Sans" w:eastAsia="Google Sans" w:hAnsi="Google Sans"/>
            <w:color w:val="0000ee"/>
            <w:sz w:val="24"/>
            <w:szCs w:val="24"/>
            <w:u w:val="single"/>
            <w:rtl w:val="0"/>
          </w:rPr>
          <w:t xml:space="preserve">https://arxiv.org/html/2601.06519v1</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Transparent Post-Hoc Verification of Biomedical Claims in AI, </w:t>
      </w:r>
      <w:hyperlink r:id="rId31">
        <w:r w:rsidDel="00000000" w:rsidR="00000000" w:rsidRPr="00000000">
          <w:rPr>
            <w:rFonts w:ascii="Google Sans" w:cs="Google Sans" w:eastAsia="Google Sans" w:hAnsi="Google Sans"/>
            <w:color w:val="0000ee"/>
            <w:sz w:val="24"/>
            <w:szCs w:val="24"/>
            <w:u w:val="single"/>
            <w:rtl w:val="0"/>
          </w:rPr>
          <w:t xml:space="preserve">https://aclanthology.org/2025.hcinlp-1.4.pdf</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Transparent Post-Hoc Verification of Biomedical Claims in AI, </w:t>
      </w:r>
      <w:hyperlink r:id="rId32">
        <w:r w:rsidDel="00000000" w:rsidR="00000000" w:rsidRPr="00000000">
          <w:rPr>
            <w:rFonts w:ascii="Google Sans" w:cs="Google Sans" w:eastAsia="Google Sans" w:hAnsi="Google Sans"/>
            <w:color w:val="0000ee"/>
            <w:sz w:val="24"/>
            <w:szCs w:val="24"/>
            <w:u w:val="single"/>
            <w:rtl w:val="0"/>
          </w:rPr>
          <w:t xml:space="preserve">https://aclanthology.org/2025.hcinlp-1.4/</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Biomedical Claim Verification by Using Large Language, </w:t>
      </w:r>
      <w:hyperlink r:id="rId33">
        <w:r w:rsidDel="00000000" w:rsidR="00000000" w:rsidRPr="00000000">
          <w:rPr>
            <w:rFonts w:ascii="Google Sans" w:cs="Google Sans" w:eastAsia="Google Sans" w:hAnsi="Google Sans"/>
            <w:color w:val="0000ee"/>
            <w:sz w:val="24"/>
            <w:szCs w:val="24"/>
            <w:u w:val="single"/>
            <w:rtl w:val="0"/>
          </w:rPr>
          <w:t xml:space="preserve">https://aclanthology.org/2025.bionlp-1.14/</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[2508.01285] BioDisco: Multi-agent hypothesis generation with dual, </w:t>
      </w:r>
      <w:hyperlink r:id="rId34">
        <w:r w:rsidDel="00000000" w:rsidR="00000000" w:rsidRPr="00000000">
          <w:rPr>
            <w:rFonts w:ascii="Google Sans" w:cs="Google Sans" w:eastAsia="Google Sans" w:hAnsi="Google Sans"/>
            <w:color w:val="0000ee"/>
            <w:sz w:val="24"/>
            <w:szCs w:val="24"/>
            <w:u w:val="single"/>
            <w:rtl w:val="0"/>
          </w:rPr>
          <w:t xml:space="preserve">https://arxiv.org/abs/2508.01285</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Biomedical Knowledge Graph Retrieval for Interpretable,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https://www.researchgate.net/publication/399756560_Scaling_Biomedical_Knowledge_Graph_Retrieval_for_Interpretable_Reasoning_Applications_to_Clinical_Diagnosis_Prediction</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Biomedical Knowledge Graph Retrieval for Interpretable,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https://pmc.ncbi.nlm.nih.gov/articles/PMC12870703/</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forecasting with MAPIE, </w:t>
      </w:r>
      <w:hyperlink r:id="rId37">
        <w:r w:rsidDel="00000000" w:rsidR="00000000" w:rsidRPr="00000000">
          <w:rPr>
            <w:rFonts w:ascii="Google Sans" w:cs="Google Sans" w:eastAsia="Google Sans" w:hAnsi="Google Sans"/>
            <w:color w:val="0000ee"/>
            <w:sz w:val="24"/>
            <w:szCs w:val="24"/>
            <w:u w:val="single"/>
            <w:rtl w:val="0"/>
          </w:rPr>
          <w:t xml:space="preserve">https://valeman.medium.com/conformal-prediction-forecasting-with-mapie-library-for-conformal-prediction-7aac033ae3ef</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TRAQ: Trustworthy Retrieval Augmented Question Answering via, </w:t>
      </w:r>
      <w:hyperlink r:id="rId38">
        <w:r w:rsidDel="00000000" w:rsidR="00000000" w:rsidRPr="00000000">
          <w:rPr>
            <w:rFonts w:ascii="Google Sans" w:cs="Google Sans" w:eastAsia="Google Sans" w:hAnsi="Google Sans"/>
            <w:color w:val="0000ee"/>
            <w:sz w:val="24"/>
            <w:szCs w:val="24"/>
            <w:u w:val="single"/>
            <w:rtl w:val="0"/>
          </w:rPr>
          <w:t xml:space="preserve">https://alphaxiv.org/abs/2307.04642</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Network Link Prediction with False Discovery Rate ... - arXiv, </w:t>
      </w:r>
      <w:hyperlink r:id="rId39">
        <w:r w:rsidDel="00000000" w:rsidR="00000000" w:rsidRPr="00000000">
          <w:rPr>
            <w:rFonts w:ascii="Google Sans" w:cs="Google Sans" w:eastAsia="Google Sans" w:hAnsi="Google Sans"/>
            <w:color w:val="0000ee"/>
            <w:sz w:val="24"/>
            <w:szCs w:val="24"/>
            <w:u w:val="single"/>
            <w:rtl w:val="0"/>
          </w:rPr>
          <w:t xml:space="preserve">https://arxiv.org/abs/2507.07025</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valeman/awesome-conformal-prediction, </w:t>
      </w:r>
      <w:hyperlink r:id="rId40">
        <w:r w:rsidDel="00000000" w:rsidR="00000000" w:rsidRPr="00000000">
          <w:rPr>
            <w:rFonts w:ascii="Google Sans" w:cs="Google Sans" w:eastAsia="Google Sans" w:hAnsi="Google Sans"/>
            <w:color w:val="0000ee"/>
            <w:sz w:val="24"/>
            <w:szCs w:val="24"/>
            <w:u w:val="single"/>
            <w:rtl w:val="0"/>
          </w:rPr>
          <w:t xml:space="preserve">https://github.com/valeman/awesome-conformal-prediction</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CiteGuard: Conformal False-Discovery Control for Faithful Retrieval, </w:t>
      </w:r>
      <w:hyperlink r:id="rId41">
        <w:r w:rsidDel="00000000" w:rsidR="00000000" w:rsidRPr="00000000">
          <w:rPr>
            <w:rFonts w:ascii="Google Sans" w:cs="Google Sans" w:eastAsia="Google Sans" w:hAnsi="Google Sans"/>
            <w:color w:val="0000ee"/>
            <w:sz w:val="24"/>
            <w:szCs w:val="24"/>
            <w:u w:val="single"/>
            <w:rtl w:val="0"/>
          </w:rPr>
          <w:t xml:space="preserve">https://icml.cc/virtual/2026/poster/64935</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CiteGuard: Conformal False-Discovery Control for Faithful Retrieval, </w:t>
      </w:r>
      <w:hyperlink r:id="rId42">
        <w:r w:rsidDel="00000000" w:rsidR="00000000" w:rsidRPr="00000000">
          <w:rPr>
            <w:rFonts w:ascii="Google Sans" w:cs="Google Sans" w:eastAsia="Google Sans" w:hAnsi="Google Sans"/>
            <w:color w:val="0000ee"/>
            <w:sz w:val="24"/>
            <w:szCs w:val="24"/>
            <w:u w:val="single"/>
            <w:rtl w:val="0"/>
          </w:rPr>
          <w:t xml:space="preserve">https://openreview.net/forum?id=IXV8eAZsKc</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Principled Context Engineering for RAG: Statistical Guarantees via,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https://www.researchgate.net/publication/397932907_Principled_Context_Engineering_for_RAG_Statistical_Guarantees_via_Conformal_Prediction</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Benjamini-Hochberg procedure (FDR) and P-Value Adjusted, </w:t>
      </w:r>
      <w:hyperlink r:id="rId44">
        <w:r w:rsidDel="00000000" w:rsidR="00000000" w:rsidRPr="00000000">
          <w:rPr>
            <w:rFonts w:ascii="Google Sans" w:cs="Google Sans" w:eastAsia="Google Sans" w:hAnsi="Google Sans"/>
            <w:color w:val="0000ee"/>
            <w:sz w:val="24"/>
            <w:szCs w:val="24"/>
            <w:u w:val="single"/>
            <w:rtl w:val="0"/>
          </w:rPr>
          <w:t xml:space="preserve">https://www.r-bloggers.com/2023/07/the-benjamini-hochberg-procedure-fdr-and-p-value-adjusted-explained/</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discovery rate - Wikipedia, </w:t>
      </w:r>
      <w:hyperlink r:id="rId45">
        <w:r w:rsidDel="00000000" w:rsidR="00000000" w:rsidRPr="00000000">
          <w:rPr>
            <w:rFonts w:ascii="Google Sans" w:cs="Google Sans" w:eastAsia="Google Sans" w:hAnsi="Google Sans"/>
            <w:color w:val="0000ee"/>
            <w:sz w:val="24"/>
            <w:szCs w:val="24"/>
            <w:u w:val="single"/>
            <w:rtl w:val="0"/>
          </w:rPr>
          <w:t xml:space="preserve">https://en.wikipedia.org/wiki/False_discovery_rate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Discovery Rate, </w:t>
      </w:r>
      <w:hyperlink r:id="rId46">
        <w:r w:rsidDel="00000000" w:rsidR="00000000" w:rsidRPr="00000000">
          <w:rPr>
            <w:rFonts w:ascii="Google Sans" w:cs="Google Sans" w:eastAsia="Google Sans" w:hAnsi="Google Sans"/>
            <w:color w:val="0000ee"/>
            <w:sz w:val="24"/>
            <w:szCs w:val="24"/>
            <w:u w:val="single"/>
            <w:rtl w:val="0"/>
          </w:rPr>
          <w:t xml:space="preserve">https://www.publichealth.columbia.edu/research/population-health-methods/false-discovery-rate</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P-values, FDR and q-values Explained, With a Worked Example, </w:t>
      </w:r>
      <w:hyperlink r:id="rId47">
        <w:r w:rsidDel="00000000" w:rsidR="00000000" w:rsidRPr="00000000">
          <w:rPr>
            <w:rFonts w:ascii="Google Sans" w:cs="Google Sans" w:eastAsia="Google Sans" w:hAnsi="Google Sans"/>
            <w:color w:val="0000ee"/>
            <w:sz w:val="24"/>
            <w:szCs w:val="24"/>
            <w:u w:val="single"/>
            <w:rtl w:val="0"/>
          </w:rPr>
          <w:t xml:space="preserve">https://totallab.com/resources/p-values-fdr-q-values/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Benjamini-Hochberg Procedure - GeeksforGeeks, </w:t>
      </w:r>
      <w:hyperlink r:id="rId48">
        <w:r w:rsidDel="00000000" w:rsidR="00000000" w:rsidRPr="00000000">
          <w:rPr>
            <w:rFonts w:ascii="Google Sans" w:cs="Google Sans" w:eastAsia="Google Sans" w:hAnsi="Google Sans"/>
            <w:color w:val="0000ee"/>
            <w:sz w:val="24"/>
            <w:szCs w:val="24"/>
            <w:u w:val="single"/>
            <w:rtl w:val="0"/>
          </w:rPr>
          <w:t xml:space="preserve">https://www.geeksforgeeks.org/data-science/benjamini-hochberg-procedure/</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P-values, False Discovery Rate (FDR) and q-values, </w:t>
      </w:r>
      <w:hyperlink r:id="rId49">
        <w:r w:rsidDel="00000000" w:rsidR="00000000" w:rsidRPr="00000000">
          <w:rPr>
            <w:rFonts w:ascii="Google Sans" w:cs="Google Sans" w:eastAsia="Google Sans" w:hAnsi="Google Sans"/>
            <w:color w:val="0000ee"/>
            <w:sz w:val="24"/>
            <w:szCs w:val="24"/>
            <w:u w:val="single"/>
            <w:rtl w:val="0"/>
          </w:rPr>
          <w:t xml:space="preserve">https://www.nonlinear.com/support/progenesis/comet/faq/v2.0/pq-values.aspx</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Benjamini–Hochberg Procedure Can Fail to Control the FDR for, </w:t>
      </w:r>
      <w:hyperlink r:id="rId50">
        <w:r w:rsidDel="00000000" w:rsidR="00000000" w:rsidRPr="00000000">
          <w:rPr>
            <w:rFonts w:ascii="Google Sans" w:cs="Google Sans" w:eastAsia="Google Sans" w:hAnsi="Google Sans"/>
            <w:color w:val="0000ee"/>
            <w:sz w:val="24"/>
            <w:szCs w:val="24"/>
            <w:u w:val="single"/>
            <w:rtl w:val="0"/>
          </w:rPr>
          <w:t xml:space="preserve">https://faculty.wharton.upenn.edu/wp-content/uploads/2017/06/bh.pdf</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Bioinformatics, </w:t>
      </w:r>
      <w:hyperlink r:id="rId51">
        <w:r w:rsidDel="00000000" w:rsidR="00000000" w:rsidRPr="00000000">
          <w:rPr>
            <w:rFonts w:ascii="Google Sans" w:cs="Google Sans" w:eastAsia="Google Sans" w:hAnsi="Google Sans"/>
            <w:color w:val="0000ee"/>
            <w:sz w:val="24"/>
            <w:szCs w:val="24"/>
            <w:u w:val="single"/>
            <w:rtl w:val="0"/>
          </w:rPr>
          <w:t xml:space="preserve">https://fmipa.umri.ac.id/wp-content/uploads/2016/03/Jae_K._Lee_Statistical_Bioinformatics_For_BiomeBookFi.org_.pdf</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Antibody selection strategies and their impact in predicting,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https://www.researchgate.net/publication/377698971_Antibody_selection_strategies_and_their_impact_in_predicting_clinical_malaria_based_on_multi-sera_data</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Birth weight with Crepes conformal prediction - Kaggle, </w:t>
      </w:r>
      <w:hyperlink r:id="rId53">
        <w:r w:rsidDel="00000000" w:rsidR="00000000" w:rsidRPr="00000000">
          <w:rPr>
            <w:rFonts w:ascii="Google Sans" w:cs="Google Sans" w:eastAsia="Google Sans" w:hAnsi="Google Sans"/>
            <w:color w:val="0000ee"/>
            <w:sz w:val="24"/>
            <w:szCs w:val="24"/>
            <w:u w:val="single"/>
            <w:rtl w:val="0"/>
          </w:rPr>
          <w:t xml:space="preserve">https://www.kaggle.com/code/thomasmeiner/birth-weight-with-crepes-conformal-prediction/notebook?scriptVersionId=161501752</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 A Practical Guide with MAPIE, </w:t>
      </w:r>
      <w:hyperlink r:id="rId54">
        <w:r w:rsidDel="00000000" w:rsidR="00000000" w:rsidRPr="00000000">
          <w:rPr>
            <w:rFonts w:ascii="Google Sans" w:cs="Google Sans" w:eastAsia="Google Sans" w:hAnsi="Google Sans"/>
            <w:color w:val="0000ee"/>
            <w:sz w:val="24"/>
            <w:szCs w:val="24"/>
            <w:u w:val="single"/>
            <w:rtl w:val="0"/>
          </w:rPr>
          <w:t xml:space="preserve">https://www.interactivebrokers.com/campus/ibkr-quant-news/conformal-prediction-a-practical-guide-with-mapie/</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 A Practical Guide with MAPIE, </w:t>
      </w:r>
      <w:hyperlink r:id="rId55">
        <w:r w:rsidDel="00000000" w:rsidR="00000000" w:rsidRPr="00000000">
          <w:rPr>
            <w:rFonts w:ascii="Google Sans" w:cs="Google Sans" w:eastAsia="Google Sans" w:hAnsi="Google Sans"/>
            <w:color w:val="0000ee"/>
            <w:sz w:val="24"/>
            <w:szCs w:val="24"/>
            <w:u w:val="single"/>
            <w:rtl w:val="0"/>
          </w:rPr>
          <w:t xml:space="preserve">https://algotrading101.com/learn/conformal-prediction-guide/</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crepes: a Python Package for Generating Conformal Regressors, </w:t>
      </w:r>
      <w:hyperlink r:id="rId56">
        <w:r w:rsidDel="00000000" w:rsidR="00000000" w:rsidRPr="00000000">
          <w:rPr>
            <w:rFonts w:ascii="Google Sans" w:cs="Google Sans" w:eastAsia="Google Sans" w:hAnsi="Google Sans"/>
            <w:color w:val="0000ee"/>
            <w:sz w:val="24"/>
            <w:szCs w:val="24"/>
            <w:u w:val="single"/>
            <w:rtl w:val="0"/>
          </w:rPr>
          <w:t xml:space="preserve">https://proceedings.mlr.press/v179/bostrom22a/bostrom22a.pdf</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Prompt to Provenance: BloClaw, a Capability-Gated AI4S, </w:t>
      </w:r>
      <w:hyperlink r:id="rId57">
        <w:r w:rsidDel="00000000" w:rsidR="00000000" w:rsidRPr="00000000">
          <w:rPr>
            <w:rFonts w:ascii="Google Sans" w:cs="Google Sans" w:eastAsia="Google Sans" w:hAnsi="Google Sans"/>
            <w:color w:val="0000ee"/>
            <w:sz w:val="24"/>
            <w:szCs w:val="24"/>
            <w:u w:val="single"/>
            <w:rtl w:val="0"/>
          </w:rPr>
          <w:t xml:space="preserve">https://www.biorxiv.org/content/10.64898/2026.08.26.747436v1.full</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Dialectic-Med: Mitigating Diagnostic Hallucinations via, </w:t>
      </w:r>
      <w:hyperlink r:id="rId58">
        <w:r w:rsidDel="00000000" w:rsidR="00000000" w:rsidRPr="00000000">
          <w:rPr>
            <w:rFonts w:ascii="Google Sans" w:cs="Google Sans" w:eastAsia="Google Sans" w:hAnsi="Google Sans"/>
            <w:color w:val="0000ee"/>
            <w:sz w:val="24"/>
            <w:szCs w:val="24"/>
            <w:u w:val="single"/>
            <w:rtl w:val="0"/>
          </w:rPr>
          <w:t xml:space="preserve">https://scholar.xjtlu.edu.cn/en/publications/dialectic-med-mitigating-diagnostic-hallucinations-via-counterfac/</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Counterfactual Debating with Preset Stances for Hallucination, </w:t>
      </w:r>
      <w:hyperlink r:id="rId59">
        <w:r w:rsidDel="00000000" w:rsidR="00000000" w:rsidRPr="00000000">
          <w:rPr>
            <w:rFonts w:ascii="Google Sans" w:cs="Google Sans" w:eastAsia="Google Sans" w:hAnsi="Google Sans"/>
            <w:color w:val="0000ee"/>
            <w:sz w:val="24"/>
            <w:szCs w:val="24"/>
            <w:u w:val="single"/>
            <w:rtl w:val="0"/>
          </w:rPr>
          <w:t xml:space="preserve">https://aclanthology.org/2025.coling-main.703/</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association to causation: a decision-aware framework for, </w:t>
      </w:r>
      <w:hyperlink r:id="rId60">
        <w:r w:rsidDel="00000000" w:rsidR="00000000" w:rsidRPr="00000000">
          <w:rPr>
            <w:rFonts w:ascii="Google Sans" w:cs="Google Sans" w:eastAsia="Google Sans" w:hAnsi="Google Sans"/>
            <w:color w:val="0000ee"/>
            <w:sz w:val="24"/>
            <w:szCs w:val="24"/>
            <w:u w:val="single"/>
            <w:rtl w:val="0"/>
          </w:rPr>
          <w:t xml:space="preserve">https://academic.oup.com/bib/article/27/3/bbag316/8709152</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Dialectic-Med: Mitigating Diagnostic Hallucinations via ... - arXiv, </w:t>
      </w:r>
      <w:hyperlink r:id="rId61">
        <w:r w:rsidDel="00000000" w:rsidR="00000000" w:rsidRPr="00000000">
          <w:rPr>
            <w:rFonts w:ascii="Google Sans" w:cs="Google Sans" w:eastAsia="Google Sans" w:hAnsi="Google Sans"/>
            <w:color w:val="0000ee"/>
            <w:sz w:val="24"/>
            <w:szCs w:val="24"/>
            <w:u w:val="single"/>
            <w:rtl w:val="0"/>
          </w:rPr>
          <w:t xml:space="preserve">https://arxiv.org/html/2604.11258v1</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Debate Strategies to Enhance Requirements, </w:t>
      </w:r>
      <w:hyperlink r:id="rId62">
        <w:r w:rsidDel="00000000" w:rsidR="00000000" w:rsidRPr="00000000">
          <w:rPr>
            <w:rFonts w:ascii="Google Sans" w:cs="Google Sans" w:eastAsia="Google Sans" w:hAnsi="Google Sans"/>
            <w:color w:val="0000ee"/>
            <w:sz w:val="24"/>
            <w:szCs w:val="24"/>
            <w:u w:val="single"/>
            <w:rtl w:val="0"/>
          </w:rPr>
          <w:t xml:space="preserve">https://upcommons.upc.edu/bitstreams/49217104-96ad-48dd-9820-05fa743a8bd2/download</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Counterfactual Reasoning with Knowledge Graph Embeddings, </w:t>
      </w:r>
      <w:hyperlink r:id="rId63">
        <w:r w:rsidDel="00000000" w:rsidR="00000000" w:rsidRPr="00000000">
          <w:rPr>
            <w:rFonts w:ascii="Google Sans" w:cs="Google Sans" w:eastAsia="Google Sans" w:hAnsi="Google Sans"/>
            <w:color w:val="0000ee"/>
            <w:sz w:val="24"/>
            <w:szCs w:val="24"/>
            <w:u w:val="single"/>
            <w:rtl w:val="0"/>
          </w:rPr>
          <w:t xml:space="preserve">https://www.benjaminroth.net/files/428_counterfactual_reasoning_with_.pdf</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Counterfactual Learning on Heterogeneous Graphs with Greedy, </w:t>
      </w:r>
      <w:hyperlink r:id="rId64">
        <w:r w:rsidDel="00000000" w:rsidR="00000000" w:rsidRPr="00000000">
          <w:rPr>
            <w:rFonts w:ascii="Google Sans" w:cs="Google Sans" w:eastAsia="Google Sans" w:hAnsi="Google Sans"/>
            <w:color w:val="0000ee"/>
            <w:sz w:val="24"/>
            <w:szCs w:val="24"/>
            <w:u w:val="single"/>
            <w:rtl w:val="0"/>
          </w:rPr>
          <w:t xml:space="preserve">https://repository.kaust.edu.sa/server/api/core/bitstreams/0526a684-0229-4680-ba3a-0bb172149bb2/content</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TGraphX with PyTorch Geometric, DGL, NetworkX, </w:t>
      </w:r>
      <w:hyperlink r:id="rId65">
        <w:r w:rsidDel="00000000" w:rsidR="00000000" w:rsidRPr="00000000">
          <w:rPr>
            <w:rFonts w:ascii="Google Sans" w:cs="Google Sans" w:eastAsia="Google Sans" w:hAnsi="Google Sans"/>
            <w:color w:val="0000ee"/>
            <w:sz w:val="24"/>
            <w:szCs w:val="24"/>
            <w:u w:val="single"/>
            <w:rtl w:val="0"/>
          </w:rPr>
          <w:t xml:space="preserve">https://tgraphx.com/compare/</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Counterfactual Explanations for Graph Neural Networks,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https://www.researchgate.net/publication/384853874_Generate_Counterfactual_Explanations_for_Graph_Neural_Networks_from_Node_Feature_Perturbations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a NetworkX graph into a PyTorch Geometric ... - GitHub, </w:t>
      </w:r>
      <w:hyperlink r:id="rId67">
        <w:r w:rsidDel="00000000" w:rsidR="00000000" w:rsidRPr="00000000">
          <w:rPr>
            <w:rFonts w:ascii="Google Sans" w:cs="Google Sans" w:eastAsia="Google Sans" w:hAnsi="Google Sans"/>
            <w:color w:val="0000ee"/>
            <w:sz w:val="24"/>
            <w:szCs w:val="24"/>
            <w:u w:val="single"/>
            <w:rtl w:val="0"/>
          </w:rPr>
          <w:t xml:space="preserve">https://github.com/pyg-team/pytorch_geometric/discussions/4457</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load in graph from networkx into PyTorch geometric and set, </w:t>
      </w:r>
      <w:hyperlink r:id="rId68">
        <w:r w:rsidDel="00000000" w:rsidR="00000000" w:rsidRPr="00000000">
          <w:rPr>
            <w:rFonts w:ascii="Google Sans" w:cs="Google Sans" w:eastAsia="Google Sans" w:hAnsi="Google Sans"/>
            <w:color w:val="0000ee"/>
            <w:sz w:val="24"/>
            <w:szCs w:val="24"/>
            <w:u w:val="single"/>
            <w:rtl w:val="0"/>
          </w:rPr>
          <w:t xml:space="preserve">https://stackoverflow.com/questions/70452465/how-to-load-in-graph-from-networkx-into-pytorch-geometric-and-set-node-features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Gallery | Built with Claude: Life Sciences - Cerebral Valley, </w:t>
      </w:r>
      <w:hyperlink r:id="rId69">
        <w:r w:rsidDel="00000000" w:rsidR="00000000" w:rsidRPr="00000000">
          <w:rPr>
            <w:rFonts w:ascii="Google Sans" w:cs="Google Sans" w:eastAsia="Google Sans" w:hAnsi="Google Sans"/>
            <w:color w:val="0000ee"/>
            <w:sz w:val="24"/>
            <w:szCs w:val="24"/>
            <w:u w:val="single"/>
            <w:rtl w:val="0"/>
          </w:rPr>
          <w:t xml:space="preserve">https://cerebralvalley.ai/e/built-with-claude-life-sciences/hackathon/gallery</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STROBE-causal machine learning for the human microbiome, </w:t>
      </w:r>
      <w:hyperlink r:id="rId70">
        <w:r w:rsidDel="00000000" w:rsidR="00000000" w:rsidRPr="00000000">
          <w:rPr>
            <w:rFonts w:ascii="Google Sans" w:cs="Google Sans" w:eastAsia="Google Sans" w:hAnsi="Google Sans"/>
            <w:color w:val="0000ee"/>
            <w:sz w:val="24"/>
            <w:szCs w:val="24"/>
            <w:u w:val="single"/>
            <w:rtl w:val="0"/>
          </w:rPr>
          <w:t xml:space="preserve">https://www.frontiersin.org/journals/microbiology/articles/10.3389/fmicb.2026.1705116/full</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PatternMiner: A Hybrid Deep Learning Framework for Fragment, </w:t>
      </w:r>
      <w:hyperlink r:id="rId71">
        <w:r w:rsidDel="00000000" w:rsidR="00000000" w:rsidRPr="00000000">
          <w:rPr>
            <w:rFonts w:ascii="Google Sans" w:cs="Google Sans" w:eastAsia="Google Sans" w:hAnsi="Google Sans"/>
            <w:color w:val="0000ee"/>
            <w:sz w:val="24"/>
            <w:szCs w:val="24"/>
            <w:u w:val="single"/>
            <w:rtl w:val="0"/>
          </w:rPr>
          <w:t xml:space="preserve">https://www.mdpi.com/2073-431X/15/6/354</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 Merced - eScholarship.org, </w:t>
      </w:r>
      <w:hyperlink r:id="rId72">
        <w:r w:rsidDel="00000000" w:rsidR="00000000" w:rsidRPr="00000000">
          <w:rPr>
            <w:rFonts w:ascii="Google Sans" w:cs="Google Sans" w:eastAsia="Google Sans" w:hAnsi="Google Sans"/>
            <w:color w:val="0000ee"/>
            <w:sz w:val="24"/>
            <w:szCs w:val="24"/>
            <w:u w:val="single"/>
            <w:rtl w:val="0"/>
          </w:rPr>
          <w:t xml:space="preserve">https://escholarship.org/content/qt7d11b88v/qt7d11b88v.pdf</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Evidence-Generating LLMs for Biomedical Claim ... - arXiv, </w:t>
      </w:r>
      <w:hyperlink r:id="rId73">
        <w:r w:rsidDel="00000000" w:rsidR="00000000" w:rsidRPr="00000000">
          <w:rPr>
            <w:rFonts w:ascii="Google Sans" w:cs="Google Sans" w:eastAsia="Google Sans" w:hAnsi="Google Sans"/>
            <w:color w:val="0000ee"/>
            <w:sz w:val="24"/>
            <w:szCs w:val="24"/>
            <w:u w:val="single"/>
            <w:rtl w:val="0"/>
          </w:rPr>
          <w:t xml:space="preserve">https://arxiv.org/html/2608.01409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valeman/awesome-conformal-prediction" TargetMode="External"/><Relationship Id="rId42" Type="http://schemas.openxmlformats.org/officeDocument/2006/relationships/hyperlink" Target="https://openreview.net/forum?id=IXV8eAZsKc" TargetMode="External"/><Relationship Id="rId41" Type="http://schemas.openxmlformats.org/officeDocument/2006/relationships/hyperlink" Target="https://icml.cc/virtual/2026/poster/64935" TargetMode="External"/><Relationship Id="rId44" Type="http://schemas.openxmlformats.org/officeDocument/2006/relationships/hyperlink" Target="https://www.r-bloggers.com/2023/07/the-benjamini-hochberg-procedure-fdr-and-p-value-adjusted-explained/" TargetMode="External"/><Relationship Id="rId43" Type="http://schemas.openxmlformats.org/officeDocument/2006/relationships/hyperlink" Target="https://www.researchgate.net/publication/397932907_Principled_Context_Engineering_for_RAG_Statistical_Guarantees_via_Conformal_Prediction" TargetMode="External"/><Relationship Id="rId46" Type="http://schemas.openxmlformats.org/officeDocument/2006/relationships/hyperlink" Target="https://www.publichealth.columbia.edu/research/population-health-methods/false-discovery-rate" TargetMode="External"/><Relationship Id="rId45" Type="http://schemas.openxmlformats.org/officeDocument/2006/relationships/hyperlink" Target="https://en.wikipedia.org/wiki/False_discovery_r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www.geeksforgeeks.org/data-science/benjamini-hochberg-procedure/" TargetMode="External"/><Relationship Id="rId47" Type="http://schemas.openxmlformats.org/officeDocument/2006/relationships/hyperlink" Target="https://totallab.com/resources/p-values-fdr-q-values/" TargetMode="External"/><Relationship Id="rId49" Type="http://schemas.openxmlformats.org/officeDocument/2006/relationships/hyperlink" Target="https://www.nonlinear.com/support/progenesis/comet/faq/v2.0/pq-values.aspx"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2.png"/><Relationship Id="rId8" Type="http://schemas.openxmlformats.org/officeDocument/2006/relationships/image" Target="media/image2.png"/><Relationship Id="rId73" Type="http://schemas.openxmlformats.org/officeDocument/2006/relationships/hyperlink" Target="https://arxiv.org/html/2608.01409" TargetMode="External"/><Relationship Id="rId72" Type="http://schemas.openxmlformats.org/officeDocument/2006/relationships/hyperlink" Target="https://escholarship.org/content/qt7d11b88v/qt7d11b88v.pdf" TargetMode="External"/><Relationship Id="rId31" Type="http://schemas.openxmlformats.org/officeDocument/2006/relationships/hyperlink" Target="https://aclanthology.org/2025.hcinlp-1.4.pdf" TargetMode="External"/><Relationship Id="rId30" Type="http://schemas.openxmlformats.org/officeDocument/2006/relationships/hyperlink" Target="https://arxiv.org/html/2601.06519v1" TargetMode="External"/><Relationship Id="rId33" Type="http://schemas.openxmlformats.org/officeDocument/2006/relationships/hyperlink" Target="https://aclanthology.org/2025.bionlp-1.14/" TargetMode="External"/><Relationship Id="rId32" Type="http://schemas.openxmlformats.org/officeDocument/2006/relationships/hyperlink" Target="https://aclanthology.org/2025.hcinlp-1.4/" TargetMode="External"/><Relationship Id="rId35" Type="http://schemas.openxmlformats.org/officeDocument/2006/relationships/hyperlink" Target="https://www.researchgate.net/publication/399756560_Scaling_Biomedical_Knowledge_Graph_Retrieval_for_Interpretable_Reasoning_Applications_to_Clinical_Diagnosis_Prediction" TargetMode="External"/><Relationship Id="rId34" Type="http://schemas.openxmlformats.org/officeDocument/2006/relationships/hyperlink" Target="https://arxiv.org/abs/2508.01285" TargetMode="External"/><Relationship Id="rId71" Type="http://schemas.openxmlformats.org/officeDocument/2006/relationships/hyperlink" Target="https://www.mdpi.com/2073-431X/15/6/354" TargetMode="External"/><Relationship Id="rId70" Type="http://schemas.openxmlformats.org/officeDocument/2006/relationships/hyperlink" Target="https://www.frontiersin.org/journals/microbiology/articles/10.3389/fmicb.2026.1705116/full" TargetMode="External"/><Relationship Id="rId37" Type="http://schemas.openxmlformats.org/officeDocument/2006/relationships/hyperlink" Target="https://valeman.medium.com/conformal-prediction-forecasting-with-mapie-library-for-conformal-prediction-7aac033ae3ef" TargetMode="External"/><Relationship Id="rId36" Type="http://schemas.openxmlformats.org/officeDocument/2006/relationships/hyperlink" Target="https://pmc.ncbi.nlm.nih.gov/articles/PMC12870703/" TargetMode="External"/><Relationship Id="rId39" Type="http://schemas.openxmlformats.org/officeDocument/2006/relationships/hyperlink" Target="https://arxiv.org/abs/2507.07025" TargetMode="External"/><Relationship Id="rId38" Type="http://schemas.openxmlformats.org/officeDocument/2006/relationships/hyperlink" Target="https://alphaxiv.org/abs/2307.04642" TargetMode="External"/><Relationship Id="rId62" Type="http://schemas.openxmlformats.org/officeDocument/2006/relationships/hyperlink" Target="https://upcommons.upc.edu/bitstreams/49217104-96ad-48dd-9820-05fa743a8bd2/download" TargetMode="External"/><Relationship Id="rId61" Type="http://schemas.openxmlformats.org/officeDocument/2006/relationships/hyperlink" Target="https://arxiv.org/html/2604.11258v1" TargetMode="External"/><Relationship Id="rId20" Type="http://schemas.openxmlformats.org/officeDocument/2006/relationships/image" Target="media/image11.png"/><Relationship Id="rId64" Type="http://schemas.openxmlformats.org/officeDocument/2006/relationships/hyperlink" Target="https://repository.kaust.edu.sa/server/api/core/bitstreams/0526a684-0229-4680-ba3a-0bb172149bb2/content" TargetMode="External"/><Relationship Id="rId63" Type="http://schemas.openxmlformats.org/officeDocument/2006/relationships/hyperlink" Target="https://www.benjaminroth.net/files/428_counterfactual_reasoning_with_.pdf" TargetMode="External"/><Relationship Id="rId22" Type="http://schemas.openxmlformats.org/officeDocument/2006/relationships/image" Target="media/image7.png"/><Relationship Id="rId66" Type="http://schemas.openxmlformats.org/officeDocument/2006/relationships/hyperlink" Target="https://www.researchgate.net/publication/384853874_Generate_Counterfactual_Explanations_for_Graph_Neural_Networks_from_Node_Feature_Perturbations" TargetMode="External"/><Relationship Id="rId21" Type="http://schemas.openxmlformats.org/officeDocument/2006/relationships/image" Target="media/image13.png"/><Relationship Id="rId65" Type="http://schemas.openxmlformats.org/officeDocument/2006/relationships/hyperlink" Target="https://tgraphx.com/compare/" TargetMode="External"/><Relationship Id="rId24" Type="http://schemas.openxmlformats.org/officeDocument/2006/relationships/image" Target="media/image5.png"/><Relationship Id="rId68" Type="http://schemas.openxmlformats.org/officeDocument/2006/relationships/hyperlink" Target="https://stackoverflow.com/questions/70452465/how-to-load-in-graph-from-networkx-into-pytorch-geometric-and-set-node-features" TargetMode="External"/><Relationship Id="rId23" Type="http://schemas.openxmlformats.org/officeDocument/2006/relationships/image" Target="media/image6.png"/><Relationship Id="rId67" Type="http://schemas.openxmlformats.org/officeDocument/2006/relationships/hyperlink" Target="https://github.com/pyg-team/pytorch_geometric/discussions/4457" TargetMode="External"/><Relationship Id="rId60" Type="http://schemas.openxmlformats.org/officeDocument/2006/relationships/hyperlink" Target="https://academic.oup.com/bib/article/27/3/bbag316/8709152" TargetMode="External"/><Relationship Id="rId26" Type="http://schemas.openxmlformats.org/officeDocument/2006/relationships/image" Target="media/image3.png"/><Relationship Id="rId25" Type="http://schemas.openxmlformats.org/officeDocument/2006/relationships/image" Target="media/image10.png"/><Relationship Id="rId69" Type="http://schemas.openxmlformats.org/officeDocument/2006/relationships/hyperlink" Target="https://cerebralvalley.ai/e/built-with-claude-life-sciences/hackathon/gallery" TargetMode="External"/><Relationship Id="rId28" Type="http://schemas.openxmlformats.org/officeDocument/2006/relationships/hyperlink" Target="https://arxiv.org/abs/2601.06519" TargetMode="External"/><Relationship Id="rId27" Type="http://schemas.openxmlformats.org/officeDocument/2006/relationships/image" Target="media/image8.png"/><Relationship Id="rId29" Type="http://schemas.openxmlformats.org/officeDocument/2006/relationships/hyperlink" Target="https://arxiv.org/pdf/2601.06519" TargetMode="External"/><Relationship Id="rId51" Type="http://schemas.openxmlformats.org/officeDocument/2006/relationships/hyperlink" Target="https://fmipa.umri.ac.id/wp-content/uploads/2016/03/Jae_K._Lee_Statistical_Bioinformatics_For_BiomeBookFi.org_.pdf" TargetMode="External"/><Relationship Id="rId50" Type="http://schemas.openxmlformats.org/officeDocument/2006/relationships/hyperlink" Target="https://faculty.wharton.upenn.edu/wp-content/uploads/2017/06/bh.pdf" TargetMode="External"/><Relationship Id="rId53" Type="http://schemas.openxmlformats.org/officeDocument/2006/relationships/hyperlink" Target="https://www.kaggle.com/code/thomasmeiner/birth-weight-with-crepes-conformal-prediction/notebook?scriptVersionId=161501752" TargetMode="External"/><Relationship Id="rId52" Type="http://schemas.openxmlformats.org/officeDocument/2006/relationships/hyperlink" Target="https://www.researchgate.net/publication/377698971_Antibody_selection_strategies_and_their_impact_in_predicting_clinical_malaria_based_on_multi-sera_data" TargetMode="External"/><Relationship Id="rId11" Type="http://schemas.openxmlformats.org/officeDocument/2006/relationships/image" Target="media/image1.png"/><Relationship Id="rId55" Type="http://schemas.openxmlformats.org/officeDocument/2006/relationships/hyperlink" Target="https://algotrading101.com/learn/conformal-prediction-guide/" TargetMode="External"/><Relationship Id="rId10" Type="http://schemas.openxmlformats.org/officeDocument/2006/relationships/image" Target="media/image18.png"/><Relationship Id="rId54" Type="http://schemas.openxmlformats.org/officeDocument/2006/relationships/hyperlink" Target="https://www.interactivebrokers.com/campus/ibkr-quant-news/conformal-prediction-a-practical-guide-with-mapie/" TargetMode="External"/><Relationship Id="rId13" Type="http://schemas.openxmlformats.org/officeDocument/2006/relationships/image" Target="media/image14.png"/><Relationship Id="rId57" Type="http://schemas.openxmlformats.org/officeDocument/2006/relationships/hyperlink" Target="https://www.biorxiv.org/content/10.64898/2026.08.26.747436v1.full" TargetMode="External"/><Relationship Id="rId12" Type="http://schemas.openxmlformats.org/officeDocument/2006/relationships/image" Target="media/image17.png"/><Relationship Id="rId56" Type="http://schemas.openxmlformats.org/officeDocument/2006/relationships/hyperlink" Target="https://proceedings.mlr.press/v179/bostrom22a/bostrom22a.pdf" TargetMode="External"/><Relationship Id="rId15" Type="http://schemas.openxmlformats.org/officeDocument/2006/relationships/image" Target="media/image19.png"/><Relationship Id="rId59" Type="http://schemas.openxmlformats.org/officeDocument/2006/relationships/hyperlink" Target="https://aclanthology.org/2025.coling-main.703/" TargetMode="External"/><Relationship Id="rId14" Type="http://schemas.openxmlformats.org/officeDocument/2006/relationships/image" Target="media/image15.png"/><Relationship Id="rId58" Type="http://schemas.openxmlformats.org/officeDocument/2006/relationships/hyperlink" Target="https://scholar.xjtlu.edu.cn/en/publications/dialectic-med-mitigating-diagnostic-hallucinations-via-counterfac/" TargetMode="External"/><Relationship Id="rId17" Type="http://schemas.openxmlformats.org/officeDocument/2006/relationships/image" Target="media/image20.png"/><Relationship Id="rId16" Type="http://schemas.openxmlformats.org/officeDocument/2006/relationships/image" Target="media/image4.png"/><Relationship Id="rId19" Type="http://schemas.openxmlformats.org/officeDocument/2006/relationships/image" Target="media/image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