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76B87"/>
          <w:sz w:val="32"/>
        </w:rPr>
        <w:t>DOIM–TRAFFIC-RL</w:t>
      </w:r>
    </w:p>
    <w:p>
      <w:pPr>
        <w:pStyle w:val="Title"/>
        <w:jc w:val="center"/>
      </w:pPr>
      <w:r>
        <w:t>Research Upgrade &amp; Validation Roadmap</w:t>
      </w:r>
    </w:p>
    <w:p>
      <w:pPr>
        <w:jc w:val="center"/>
      </w:pPr>
      <w:r>
        <w:rPr>
          <w:color w:val="505F6E"/>
          <w:sz w:val="24"/>
        </w:rPr>
        <w:t>From a working SUMO–PPO prototype to a defensible, reproducible IEEE research contribution</w:t>
      </w:r>
    </w:p>
    <w:p>
      <w:pPr>
        <w:spacing w:before="440"/>
        <w:jc w:val="center"/>
      </w:pPr>
      <w:r>
        <w:rPr>
          <w:color w:val="5A646E"/>
          <w:sz w:val="18"/>
        </w:rPr>
        <w:t>Repository reviewed: Ramya282006/DOIM-Traffic-RL  |  Default branch: main</w:t>
      </w:r>
    </w:p>
    <w:p>
      <w:pPr>
        <w:jc w:val="center"/>
      </w:pPr>
      <w:r>
        <w:rPr>
          <w:color w:val="5A646E"/>
          <w:sz w:val="18"/>
        </w:rPr>
        <w:t>Prepared 31 October 2026</w:t>
      </w:r>
    </w:p>
    <w:p>
      <w:r>
        <w:br w:type="page"/>
      </w:r>
    </w:p>
    <w:p>
      <w:pPr>
        <w:pStyle w:val="Heading1"/>
      </w:pPr>
      <w:r>
        <w:t>Executive assessment</w:t>
      </w:r>
    </w:p>
    <w:p>
      <w:r>
        <w:t>The repository already contains a meaningful end-to-end research prototype: a SUMO multi-intersection environment, graph and temporal encoders, a Dynamic Objective Interaction Manifold (DOIM) module, five traffic objectives, PPO training and a fixed-weight PPO comparator, scenario generators, multi-seed evaluation code, objective-interaction analysis, model checkpoints, and tests. This is a credible engineering foundation. It is not yet sufficient to support a top-tier novelty or performance claim.</w:t>
      </w:r>
    </w:p>
    <w:p>
      <w:r>
        <w:t>The most important finding is a method-versus-implementation gap. In the current DOIMProcessor, the spatial encoder, GRU, and DOIM are put in evaluation mode, and every forward pass is wrapped in torch.no_grad(). The PPO policy is trainable, but the components that create the purported learned manifold and adaptive preferences are not updated by the PPO loss. The interaction matrix is a rolling Pearson-correlation estimate. Therefore, the current experiments demonstrate a PPO controller conditioned on a fixed, randomly initialized neural representation plus statistical objective correlations; they do not yet demonstrate an end-to-end learned interaction manifold.</w:t>
      </w:r>
    </w:p>
    <w:p>
      <w:r>
        <w:t>Recommendation: preserve the present implementation as a baseline and reproducibility checkpoint. Develop a clearly specified trainable DOIM mechanism, define objective interactions more rigorously, introduce safety/fairness constraints, and evaluate across multiple scenarios, demand shifts, seeds, and strong baselines. A strong paper is earned by falsifiable claims and transparent experiments; no roadmap can guarantee a Q1/IEEE acceptance or a “10/10” review score.</w:t>
      </w:r>
    </w:p>
    <w:p>
      <w:pPr>
        <w:pStyle w:val="Heading2"/>
      </w:pPr>
      <w:r>
        <w:t>Decision summary</w:t>
      </w:r>
    </w:p>
    <w:tbl>
      <w:tblPr>
        <w:tblStyle w:val="TableGrid"/>
        <w:tblW w:type="auto" w:w="0"/>
        <w:jc w:val="center"/>
        <w:tblLook w:firstColumn="1" w:firstRow="1" w:lastColumn="0" w:lastRow="0" w:noHBand="0" w:noVBand="1" w:val="04A0"/>
      </w:tblPr>
      <w:tblGrid>
        <w:gridCol w:w="3286"/>
        <w:gridCol w:w="3286"/>
        <w:gridCol w:w="3286"/>
      </w:tblGrid>
      <w:tr>
        <w:tc>
          <w:tcPr>
            <w:tcW w:type="dxa" w:w="3286"/>
            <w:vAlign w:val="center"/>
            <w:shd w:fill="17365D"/>
          </w:tcPr>
          <w:p>
            <w:pPr>
              <w:spacing w:after="40"/>
            </w:pPr>
            <w:r/>
            <w:r>
              <w:rPr>
                <w:b/>
                <w:color w:val="FFFFFF"/>
                <w:sz w:val="17"/>
              </w:rPr>
              <w:t>Area</w:t>
            </w:r>
          </w:p>
        </w:tc>
        <w:tc>
          <w:tcPr>
            <w:tcW w:type="dxa" w:w="3286"/>
            <w:vAlign w:val="center"/>
            <w:shd w:fill="17365D"/>
          </w:tcPr>
          <w:p>
            <w:pPr>
              <w:spacing w:after="40"/>
            </w:pPr>
            <w:r/>
            <w:r>
              <w:rPr>
                <w:b/>
                <w:color w:val="FFFFFF"/>
                <w:sz w:val="17"/>
              </w:rPr>
              <w:t>Current repository evidence</w:t>
            </w:r>
          </w:p>
        </w:tc>
        <w:tc>
          <w:tcPr>
            <w:tcW w:type="dxa" w:w="3286"/>
            <w:vAlign w:val="center"/>
            <w:shd w:fill="17365D"/>
          </w:tcPr>
          <w:p>
            <w:pPr>
              <w:spacing w:after="40"/>
            </w:pPr>
            <w:r/>
            <w:r>
              <w:rPr>
                <w:b/>
                <w:color w:val="FFFFFF"/>
                <w:sz w:val="17"/>
              </w:rPr>
              <w:t>Research consequence</w:t>
            </w:r>
          </w:p>
        </w:tc>
      </w:tr>
      <w:tr>
        <w:tc>
          <w:tcPr>
            <w:tcW w:type="dxa" w:w="3286"/>
            <w:vAlign w:val="center"/>
          </w:tcPr>
          <w:p>
            <w:pPr>
              <w:spacing w:after="40"/>
            </w:pPr>
            <w:r/>
            <w:r>
              <w:rPr>
                <w:b w:val="0"/>
                <w:sz w:val="16"/>
              </w:rPr>
              <w:t>System implementation</w:t>
            </w:r>
          </w:p>
        </w:tc>
        <w:tc>
          <w:tcPr>
            <w:tcW w:type="dxa" w:w="3286"/>
            <w:vAlign w:val="center"/>
          </w:tcPr>
          <w:p>
            <w:pPr>
              <w:spacing w:after="40"/>
            </w:pPr>
            <w:r/>
            <w:r>
              <w:rPr>
                <w:b w:val="0"/>
                <w:sz w:val="16"/>
              </w:rPr>
              <w:t>SUMO environment; 3×3 grid assets; five controllable traffic lights; 69-D observation (64-D manifold + 5 weights); MultiDiscrete(2,…,2) action.</w:t>
            </w:r>
          </w:p>
        </w:tc>
        <w:tc>
          <w:tcPr>
            <w:tcW w:type="dxa" w:w="3286"/>
            <w:vAlign w:val="center"/>
          </w:tcPr>
          <w:p>
            <w:pPr>
              <w:spacing w:after="40"/>
            </w:pPr>
            <w:r/>
            <w:r>
              <w:rPr>
                <w:b w:val="0"/>
                <w:sz w:val="16"/>
              </w:rPr>
              <w:t>Keep the simulator and modular structure; validate signal action semantics, topology alignment, and network-scale behaviour.</w:t>
            </w:r>
          </w:p>
        </w:tc>
      </w:tr>
      <w:tr>
        <w:tc>
          <w:tcPr>
            <w:tcW w:type="dxa" w:w="3286"/>
            <w:vAlign w:val="center"/>
            <w:shd w:fill="F1F5F9"/>
          </w:tcPr>
          <w:p>
            <w:pPr>
              <w:spacing w:after="40"/>
            </w:pPr>
            <w:r/>
            <w:r>
              <w:rPr>
                <w:b w:val="0"/>
                <w:sz w:val="16"/>
              </w:rPr>
              <w:t>Representation</w:t>
            </w:r>
          </w:p>
        </w:tc>
        <w:tc>
          <w:tcPr>
            <w:tcW w:type="dxa" w:w="3286"/>
            <w:vAlign w:val="center"/>
            <w:shd w:fill="F1F5F9"/>
          </w:tcPr>
          <w:p>
            <w:pPr>
              <w:spacing w:after="40"/>
            </w:pPr>
            <w:r/>
            <w:r>
              <w:rPr>
                <w:b w:val="0"/>
                <w:sz w:val="16"/>
              </w:rPr>
              <w:t>Two-layer GCN, GRU temporal encoder, MLP DOIM with softmax preference head.</w:t>
            </w:r>
          </w:p>
        </w:tc>
        <w:tc>
          <w:tcPr>
            <w:tcW w:type="dxa" w:w="3286"/>
            <w:vAlign w:val="center"/>
            <w:shd w:fill="F1F5F9"/>
          </w:tcPr>
          <w:p>
            <w:pPr>
              <w:spacing w:after="40"/>
            </w:pPr>
            <w:r/>
            <w:r>
              <w:rPr>
                <w:b w:val="0"/>
                <w:sz w:val="16"/>
              </w:rPr>
              <w:t>Architecture exists, but no learning path currently updates these parameters.</w:t>
            </w:r>
          </w:p>
        </w:tc>
      </w:tr>
      <w:tr>
        <w:tc>
          <w:tcPr>
            <w:tcW w:type="dxa" w:w="3286"/>
            <w:vAlign w:val="center"/>
          </w:tcPr>
          <w:p>
            <w:pPr>
              <w:spacing w:after="40"/>
            </w:pPr>
            <w:r/>
            <w:r>
              <w:rPr>
                <w:b w:val="0"/>
                <w:sz w:val="16"/>
              </w:rPr>
              <w:t>Objective model</w:t>
            </w:r>
          </w:p>
        </w:tc>
        <w:tc>
          <w:tcPr>
            <w:tcW w:type="dxa" w:w="3286"/>
            <w:vAlign w:val="center"/>
          </w:tcPr>
          <w:p>
            <w:pPr>
              <w:spacing w:after="40"/>
            </w:pPr>
            <w:r/>
            <w:r>
              <w:rPr>
                <w:b w:val="0"/>
                <w:sz w:val="16"/>
              </w:rPr>
              <w:t>Waiting, queue, CO₂, throughput, and fairness proxy (variance of intersection waiting).</w:t>
            </w:r>
          </w:p>
        </w:tc>
        <w:tc>
          <w:tcPr>
            <w:tcW w:type="dxa" w:w="3286"/>
            <w:vAlign w:val="center"/>
          </w:tcPr>
          <w:p>
            <w:pPr>
              <w:spacing w:after="40"/>
            </w:pPr>
            <w:r/>
            <w:r>
              <w:rPr>
                <w:b w:val="0"/>
                <w:sz w:val="16"/>
              </w:rPr>
              <w:t>Improve measurement validity, units, scaling, and objective direction; replace proxy fairness with defensible metrics.</w:t>
            </w:r>
          </w:p>
        </w:tc>
      </w:tr>
      <w:tr>
        <w:tc>
          <w:tcPr>
            <w:tcW w:type="dxa" w:w="3286"/>
            <w:vAlign w:val="center"/>
            <w:shd w:fill="F1F5F9"/>
          </w:tcPr>
          <w:p>
            <w:pPr>
              <w:spacing w:after="40"/>
            </w:pPr>
            <w:r/>
            <w:r>
              <w:rPr>
                <w:b w:val="0"/>
                <w:sz w:val="16"/>
              </w:rPr>
              <w:t>Interaction model</w:t>
            </w:r>
          </w:p>
        </w:tc>
        <w:tc>
          <w:tcPr>
            <w:tcW w:type="dxa" w:w="3286"/>
            <w:vAlign w:val="center"/>
            <w:shd w:fill="F1F5F9"/>
          </w:tcPr>
          <w:p>
            <w:pPr>
              <w:spacing w:after="40"/>
            </w:pPr>
            <w:r/>
            <w:r>
              <w:rPr>
                <w:b w:val="0"/>
                <w:sz w:val="16"/>
              </w:rPr>
              <w:t>Rolling 30-step Pearson correlation over five normalized objective traces.</w:t>
            </w:r>
          </w:p>
        </w:tc>
        <w:tc>
          <w:tcPr>
            <w:tcW w:type="dxa" w:w="3286"/>
            <w:vAlign w:val="center"/>
            <w:shd w:fill="F1F5F9"/>
          </w:tcPr>
          <w:p>
            <w:pPr>
              <w:spacing w:after="40"/>
            </w:pPr>
            <w:r/>
            <w:r>
              <w:rPr>
                <w:b w:val="0"/>
                <w:sz w:val="16"/>
              </w:rPr>
              <w:t>Correlation is descriptive and confounded by shared demand/time trends; add lagged, conditional and intervention-based interaction analyses.</w:t>
            </w:r>
          </w:p>
        </w:tc>
      </w:tr>
      <w:tr>
        <w:tc>
          <w:tcPr>
            <w:tcW w:type="dxa" w:w="3286"/>
            <w:vAlign w:val="center"/>
          </w:tcPr>
          <w:p>
            <w:pPr>
              <w:spacing w:after="40"/>
            </w:pPr>
            <w:r/>
            <w:r>
              <w:rPr>
                <w:b w:val="0"/>
                <w:sz w:val="16"/>
              </w:rPr>
              <w:t>Controller</w:t>
            </w:r>
          </w:p>
        </w:tc>
        <w:tc>
          <w:tcPr>
            <w:tcW w:type="dxa" w:w="3286"/>
            <w:vAlign w:val="center"/>
          </w:tcPr>
          <w:p>
            <w:pPr>
              <w:spacing w:after="40"/>
            </w:pPr>
            <w:r/>
            <w:r>
              <w:rPr>
                <w:b w:val="0"/>
                <w:sz w:val="16"/>
              </w:rPr>
              <w:t>PPO with 1,000 timesteps; uniform fixed-weight PPO comparison.</w:t>
            </w:r>
          </w:p>
        </w:tc>
        <w:tc>
          <w:tcPr>
            <w:tcW w:type="dxa" w:w="3286"/>
            <w:vAlign w:val="center"/>
          </w:tcPr>
          <w:p>
            <w:pPr>
              <w:spacing w:after="40"/>
            </w:pPr>
            <w:r/>
            <w:r>
              <w:rPr>
                <w:b w:val="0"/>
                <w:sz w:val="16"/>
              </w:rPr>
              <w:t>Training budget and baseline set are too small for reliable conclusions; align evaluation protocol and training budgets.</w:t>
            </w:r>
          </w:p>
        </w:tc>
      </w:tr>
      <w:tr>
        <w:tc>
          <w:tcPr>
            <w:tcW w:type="dxa" w:w="3286"/>
            <w:vAlign w:val="center"/>
            <w:shd w:fill="F1F5F9"/>
          </w:tcPr>
          <w:p>
            <w:pPr>
              <w:spacing w:after="40"/>
            </w:pPr>
            <w:r/>
            <w:r>
              <w:rPr>
                <w:b w:val="0"/>
                <w:sz w:val="16"/>
              </w:rPr>
              <w:t>Evidence</w:t>
            </w:r>
          </w:p>
        </w:tc>
        <w:tc>
          <w:tcPr>
            <w:tcW w:type="dxa" w:w="3286"/>
            <w:vAlign w:val="center"/>
            <w:shd w:fill="F1F5F9"/>
          </w:tcPr>
          <w:p>
            <w:pPr>
              <w:spacing w:after="40"/>
            </w:pPr>
            <w:r/>
            <w:r>
              <w:rPr>
                <w:b w:val="0"/>
                <w:sz w:val="16"/>
              </w:rPr>
              <w:t>Committed summary JSONs, five-seed CSV, interaction matrix/plots, model ZIPs and tests.</w:t>
            </w:r>
          </w:p>
        </w:tc>
        <w:tc>
          <w:tcPr>
            <w:tcW w:type="dxa" w:w="3286"/>
            <w:vAlign w:val="center"/>
            <w:shd w:fill="F1F5F9"/>
          </w:tcPr>
          <w:p>
            <w:pPr>
              <w:spacing w:after="40"/>
            </w:pPr>
            <w:r/>
            <w:r>
              <w:rPr>
                <w:b w:val="0"/>
                <w:sz w:val="16"/>
              </w:rPr>
              <w:t>Useful pilot evidence, but summaries disagree and fixed-policy rows repeat exactly across seeds; rebuild immutable run-level evidence.</w:t>
            </w:r>
          </w:p>
        </w:tc>
      </w:tr>
    </w:tbl>
    <w:p>
      <w:pPr>
        <w:spacing w:after="0"/>
      </w:pPr>
    </w:p>
    <w:p>
      <w:pPr>
        <w:pStyle w:val="Heading2"/>
      </w:pPr>
      <w:r>
        <w:t>What this document does and does not claim</w:t>
      </w:r>
    </w:p>
    <w:p>
      <w:pPr>
        <w:pStyle w:val="ListBullet"/>
        <w:spacing w:after="40"/>
      </w:pPr>
      <w:r>
        <w:t>It records repository artefacts and code behaviour observed in the public default branch at review time.</w:t>
      </w:r>
    </w:p>
    <w:p>
      <w:pPr>
        <w:pStyle w:val="ListBullet"/>
        <w:spacing w:after="40"/>
      </w:pPr>
      <w:r>
        <w:t>It treats current scores as pilot results, not validated state-of-the-art evidence.</w:t>
      </w:r>
    </w:p>
    <w:p>
      <w:pPr>
        <w:pStyle w:val="ListBullet"/>
        <w:spacing w:after="40"/>
      </w:pPr>
      <w:r>
        <w:t>It proposes research hypotheses and experiments; proposed improvements are not implemented or experimentally verified in this review.</w:t>
      </w:r>
    </w:p>
    <w:p>
      <w:pPr>
        <w:pStyle w:val="ListBullet"/>
        <w:spacing w:after="40"/>
      </w:pPr>
      <w:r>
        <w:t>It does not claim global novelty. Novelty must be established through a systematic literature review, method comparison, and ablation evidence.</w:t>
      </w:r>
    </w:p>
    <w:p>
      <w:pPr>
        <w:pStyle w:val="Heading1"/>
      </w:pPr>
      <w:r>
        <w:t>1. Repository audit: what is already built</w:t>
      </w:r>
    </w:p>
    <w:tbl>
      <w:tblPr>
        <w:tblStyle w:val="TableGrid"/>
        <w:tblW w:type="auto" w:w="0"/>
        <w:jc w:val="center"/>
        <w:tblLook w:firstColumn="1" w:firstRow="1" w:lastColumn="0" w:lastRow="0" w:noHBand="0" w:noVBand="1" w:val="04A0"/>
      </w:tblPr>
      <w:tblGrid>
        <w:gridCol w:w="3286"/>
        <w:gridCol w:w="3286"/>
        <w:gridCol w:w="3286"/>
      </w:tblGrid>
      <w:tr>
        <w:tc>
          <w:tcPr>
            <w:tcW w:type="dxa" w:w="3286"/>
            <w:vAlign w:val="center"/>
            <w:shd w:fill="17365D"/>
          </w:tcPr>
          <w:p>
            <w:pPr>
              <w:spacing w:after="40"/>
            </w:pPr>
            <w:r/>
            <w:r>
              <w:rPr>
                <w:b/>
                <w:color w:val="FFFFFF"/>
                <w:sz w:val="17"/>
              </w:rPr>
              <w:t>Repository component</w:t>
            </w:r>
          </w:p>
        </w:tc>
        <w:tc>
          <w:tcPr>
            <w:tcW w:type="dxa" w:w="3286"/>
            <w:vAlign w:val="center"/>
            <w:shd w:fill="17365D"/>
          </w:tcPr>
          <w:p>
            <w:pPr>
              <w:spacing w:after="40"/>
            </w:pPr>
            <w:r/>
            <w:r>
              <w:rPr>
                <w:b/>
                <w:color w:val="FFFFFF"/>
                <w:sz w:val="17"/>
              </w:rPr>
              <w:t>Observed implementation / artefacts</w:t>
            </w:r>
          </w:p>
        </w:tc>
        <w:tc>
          <w:tcPr>
            <w:tcW w:type="dxa" w:w="3286"/>
            <w:vAlign w:val="center"/>
            <w:shd w:fill="17365D"/>
          </w:tcPr>
          <w:p>
            <w:pPr>
              <w:spacing w:after="40"/>
            </w:pPr>
            <w:r/>
            <w:r>
              <w:rPr>
                <w:b/>
                <w:color w:val="FFFFFF"/>
                <w:sz w:val="17"/>
              </w:rPr>
              <w:t>Assessment</w:t>
            </w:r>
          </w:p>
        </w:tc>
      </w:tr>
      <w:tr>
        <w:tc>
          <w:tcPr>
            <w:tcW w:type="dxa" w:w="3286"/>
            <w:vAlign w:val="center"/>
          </w:tcPr>
          <w:p>
            <w:pPr>
              <w:spacing w:after="40"/>
            </w:pPr>
            <w:r/>
            <w:r>
              <w:rPr>
                <w:b w:val="0"/>
                <w:sz w:val="16"/>
              </w:rPr>
              <w:t>environment/</w:t>
            </w:r>
          </w:p>
        </w:tc>
        <w:tc>
          <w:tcPr>
            <w:tcW w:type="dxa" w:w="3286"/>
            <w:vAlign w:val="center"/>
          </w:tcPr>
          <w:p>
            <w:pPr>
              <w:spacing w:after="40"/>
            </w:pPr>
            <w:r/>
            <w:r>
              <w:rPr>
                <w:b w:val="0"/>
                <w:sz w:val="16"/>
              </w:rPr>
              <w:t>SUMO configuration and network assets; TrafficStateExtractor; DOIMProcessor; DOIMTrafficEnv and FixedWeightTrafficEnv; signal controller.</w:t>
            </w:r>
          </w:p>
        </w:tc>
        <w:tc>
          <w:tcPr>
            <w:tcW w:type="dxa" w:w="3286"/>
            <w:vAlign w:val="center"/>
          </w:tcPr>
          <w:p>
            <w:pPr>
              <w:spacing w:after="40"/>
            </w:pPr>
            <w:r/>
            <w:r>
              <w:rPr>
                <w:b w:val="0"/>
                <w:sz w:val="16"/>
              </w:rPr>
              <w:t>End-to-end simulator integration exists. Validate that five controlled TLS IDs correspond exactly to the fixed 3×3 graph node order.</w:t>
            </w:r>
          </w:p>
        </w:tc>
      </w:tr>
      <w:tr>
        <w:tc>
          <w:tcPr>
            <w:tcW w:type="dxa" w:w="3286"/>
            <w:vAlign w:val="center"/>
            <w:shd w:fill="F1F5F9"/>
          </w:tcPr>
          <w:p>
            <w:pPr>
              <w:spacing w:after="40"/>
            </w:pPr>
            <w:r/>
            <w:r>
              <w:rPr>
                <w:b w:val="0"/>
                <w:sz w:val="16"/>
              </w:rPr>
              <w:t>models/</w:t>
            </w:r>
          </w:p>
        </w:tc>
        <w:tc>
          <w:tcPr>
            <w:tcW w:type="dxa" w:w="3286"/>
            <w:vAlign w:val="center"/>
            <w:shd w:fill="F1F5F9"/>
          </w:tcPr>
          <w:p>
            <w:pPr>
              <w:spacing w:after="40"/>
            </w:pPr>
            <w:r/>
            <w:r>
              <w:rPr>
                <w:b w:val="0"/>
                <w:sz w:val="16"/>
              </w:rPr>
              <w:t>spatial_encoder.py: two GCNConv layers; temporal_encoder.py: GRU; doim.py: objective/interaction MLP encoders, manifold projection, softmax weights.</w:t>
            </w:r>
          </w:p>
        </w:tc>
        <w:tc>
          <w:tcPr>
            <w:tcW w:type="dxa" w:w="3286"/>
            <w:vAlign w:val="center"/>
            <w:shd w:fill="F1F5F9"/>
          </w:tcPr>
          <w:p>
            <w:pPr>
              <w:spacing w:after="40"/>
            </w:pPr>
            <w:r/>
            <w:r>
              <w:rPr>
                <w:b w:val="0"/>
                <w:sz w:val="16"/>
              </w:rPr>
              <w:t>Architecture scaffold exists; the trainability issue is critical.</w:t>
            </w:r>
          </w:p>
        </w:tc>
      </w:tr>
      <w:tr>
        <w:tc>
          <w:tcPr>
            <w:tcW w:type="dxa" w:w="3286"/>
            <w:vAlign w:val="center"/>
          </w:tcPr>
          <w:p>
            <w:pPr>
              <w:spacing w:after="40"/>
            </w:pPr>
            <w:r/>
            <w:r>
              <w:rPr>
                <w:b w:val="0"/>
                <w:sz w:val="16"/>
              </w:rPr>
              <w:t>objectives/</w:t>
            </w:r>
          </w:p>
        </w:tc>
        <w:tc>
          <w:tcPr>
            <w:tcW w:type="dxa" w:w="3286"/>
            <w:vAlign w:val="center"/>
          </w:tcPr>
          <w:p>
            <w:pPr>
              <w:spacing w:after="40"/>
            </w:pPr>
            <w:r/>
            <w:r>
              <w:rPr>
                <w:b w:val="0"/>
                <w:sz w:val="16"/>
              </w:rPr>
              <w:t>Objective engine, normalizer, reward, interaction analysis; several individual objective modules are empty placeholders (emissions.py, fairness.py, queue.py, throughput.py, waiting_time.py).</w:t>
            </w:r>
          </w:p>
        </w:tc>
        <w:tc>
          <w:tcPr>
            <w:tcW w:type="dxa" w:w="3286"/>
            <w:vAlign w:val="center"/>
          </w:tcPr>
          <w:p>
            <w:pPr>
              <w:spacing w:after="40"/>
            </w:pPr>
            <w:r/>
            <w:r>
              <w:rPr>
                <w:b w:val="0"/>
                <w:sz w:val="16"/>
              </w:rPr>
              <w:t>Consolidate into tested metric modules and formalize definitions.</w:t>
            </w:r>
          </w:p>
        </w:tc>
      </w:tr>
      <w:tr>
        <w:tc>
          <w:tcPr>
            <w:tcW w:type="dxa" w:w="3286"/>
            <w:vAlign w:val="center"/>
            <w:shd w:fill="F1F5F9"/>
          </w:tcPr>
          <w:p>
            <w:pPr>
              <w:spacing w:after="40"/>
            </w:pPr>
            <w:r/>
            <w:r>
              <w:rPr>
                <w:b w:val="0"/>
                <w:sz w:val="16"/>
              </w:rPr>
              <w:t>training/</w:t>
            </w:r>
          </w:p>
        </w:tc>
        <w:tc>
          <w:tcPr>
            <w:tcW w:type="dxa" w:w="3286"/>
            <w:vAlign w:val="center"/>
            <w:shd w:fill="F1F5F9"/>
          </w:tcPr>
          <w:p>
            <w:pPr>
              <w:spacing w:after="40"/>
            </w:pPr>
            <w:r/>
            <w:r>
              <w:rPr>
                <w:b w:val="0"/>
                <w:sz w:val="16"/>
              </w:rPr>
              <w:t>train_ppo.py and train_fixed_ppo.py; evaluation, comparison and multi-seed scripts. PPO total_timesteps is 1,000 in both training scripts.</w:t>
            </w:r>
          </w:p>
        </w:tc>
        <w:tc>
          <w:tcPr>
            <w:tcW w:type="dxa" w:w="3286"/>
            <w:vAlign w:val="center"/>
            <w:shd w:fill="F1F5F9"/>
          </w:tcPr>
          <w:p>
            <w:pPr>
              <w:spacing w:after="40"/>
            </w:pPr>
            <w:r/>
            <w:r>
              <w:rPr>
                <w:b w:val="0"/>
                <w:sz w:val="16"/>
              </w:rPr>
              <w:t>Pilot configuration, not converged research training. Verify the multi-seed runner creates a fresh trained model per seed.</w:t>
            </w:r>
          </w:p>
        </w:tc>
      </w:tr>
      <w:tr>
        <w:tc>
          <w:tcPr>
            <w:tcW w:type="dxa" w:w="3286"/>
            <w:vAlign w:val="center"/>
          </w:tcPr>
          <w:p>
            <w:pPr>
              <w:spacing w:after="40"/>
            </w:pPr>
            <w:r/>
            <w:r>
              <w:rPr>
                <w:b w:val="0"/>
                <w:sz w:val="16"/>
              </w:rPr>
              <w:t>scenarios/</w:t>
            </w:r>
          </w:p>
        </w:tc>
        <w:tc>
          <w:tcPr>
            <w:tcW w:type="dxa" w:w="3286"/>
            <w:vAlign w:val="center"/>
          </w:tcPr>
          <w:p>
            <w:pPr>
              <w:spacing w:after="40"/>
            </w:pPr>
            <w:r/>
            <w:r>
              <w:rPr>
                <w:b w:val="0"/>
                <w:sz w:val="16"/>
              </w:rPr>
              <w:t>normal, rush_hour, directional_shift assets and directional demand generator.</w:t>
            </w:r>
          </w:p>
        </w:tc>
        <w:tc>
          <w:tcPr>
            <w:tcW w:type="dxa" w:w="3286"/>
            <w:vAlign w:val="center"/>
          </w:tcPr>
          <w:p>
            <w:pPr>
              <w:spacing w:after="40"/>
            </w:pPr>
            <w:r/>
            <w:r>
              <w:rPr>
                <w:b w:val="0"/>
                <w:sz w:val="16"/>
              </w:rPr>
              <w:t>Promising foundation; current stored comparison is not a complete cross-scenario evaluation.</w:t>
            </w:r>
          </w:p>
        </w:tc>
      </w:tr>
      <w:tr>
        <w:tc>
          <w:tcPr>
            <w:tcW w:type="dxa" w:w="3286"/>
            <w:vAlign w:val="center"/>
            <w:shd w:fill="F1F5F9"/>
          </w:tcPr>
          <w:p>
            <w:pPr>
              <w:spacing w:after="40"/>
            </w:pPr>
            <w:r/>
            <w:r>
              <w:rPr>
                <w:b w:val="0"/>
                <w:sz w:val="16"/>
              </w:rPr>
              <w:t>results/</w:t>
            </w:r>
          </w:p>
        </w:tc>
        <w:tc>
          <w:tcPr>
            <w:tcW w:type="dxa" w:w="3286"/>
            <w:vAlign w:val="center"/>
            <w:shd w:fill="F1F5F9"/>
          </w:tcPr>
          <w:p>
            <w:pPr>
              <w:spacing w:after="40"/>
            </w:pPr>
            <w:r/>
            <w:r>
              <w:rPr>
                <w:b w:val="0"/>
                <w:sz w:val="16"/>
              </w:rPr>
              <w:t>DOIM/fixed summaries, multi-seed CSV, rolling interaction matrix and plots, PPO checkpoints/final ZIPs, TensorBoard event files.</w:t>
            </w:r>
          </w:p>
        </w:tc>
        <w:tc>
          <w:tcPr>
            <w:tcW w:type="dxa" w:w="3286"/>
            <w:vAlign w:val="center"/>
            <w:shd w:fill="F1F5F9"/>
          </w:tcPr>
          <w:p>
            <w:pPr>
              <w:spacing w:after="40"/>
            </w:pPr>
            <w:r/>
            <w:r>
              <w:rPr>
                <w:b w:val="0"/>
                <w:sz w:val="16"/>
              </w:rPr>
              <w:t>Evidence exists but should be regenerated via a single experiment harness with complete metadata.</w:t>
            </w:r>
          </w:p>
        </w:tc>
      </w:tr>
      <w:tr>
        <w:tc>
          <w:tcPr>
            <w:tcW w:type="dxa" w:w="3286"/>
            <w:vAlign w:val="center"/>
          </w:tcPr>
          <w:p>
            <w:pPr>
              <w:spacing w:after="40"/>
            </w:pPr>
            <w:r/>
            <w:r>
              <w:rPr>
                <w:b w:val="0"/>
                <w:sz w:val="16"/>
              </w:rPr>
              <w:t>tests/</w:t>
            </w:r>
          </w:p>
        </w:tc>
        <w:tc>
          <w:tcPr>
            <w:tcW w:type="dxa" w:w="3286"/>
            <w:vAlign w:val="center"/>
          </w:tcPr>
          <w:p>
            <w:pPr>
              <w:spacing w:after="40"/>
            </w:pPr>
            <w:r/>
            <w:r>
              <w:rPr>
                <w:b w:val="0"/>
                <w:sz w:val="16"/>
              </w:rPr>
              <w:t>Tests for encoders, objectives, environments, sensitivity, reset, PPO smoke, end-to-end.</w:t>
            </w:r>
          </w:p>
        </w:tc>
        <w:tc>
          <w:tcPr>
            <w:tcW w:type="dxa" w:w="3286"/>
            <w:vAlign w:val="center"/>
          </w:tcPr>
          <w:p>
            <w:pPr>
              <w:spacing w:after="40"/>
            </w:pPr>
            <w:r/>
            <w:r>
              <w:rPr>
                <w:b w:val="0"/>
                <w:sz w:val="16"/>
              </w:rPr>
              <w:t>Good starting test coverage; add deterministic invariants, leakage checks, statistical tests, and safety constraints.</w:t>
            </w:r>
          </w:p>
        </w:tc>
      </w:tr>
    </w:tbl>
    <w:p>
      <w:pPr>
        <w:spacing w:after="0"/>
      </w:pPr>
    </w:p>
    <w:p>
      <w:pPr>
        <w:pStyle w:val="Heading1"/>
      </w:pPr>
      <w:r>
        <w:t>2. Existing results: recorded evidence and careful interpretation</w:t>
      </w:r>
    </w:p>
    <w:p>
      <w:r>
        <w:t>The stored evaluation summaries report 1,000 evaluation steps and 5,000 binary signal-change decisions. The DOIM summary reports average reward −0.4479, average waiting 93.339, average queue 1.496, average CO₂ 99,428.05, throughput 249, and average fairness proxy 710.08. The fixed-weight summary reports −0.4619, 115.328, 2.18, 101,169.61, 234, and 672.19 respectively. These are committed artefact values, not independently rerun results.</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2464"/>
            <w:vAlign w:val="center"/>
            <w:shd w:fill="17365D"/>
          </w:tcPr>
          <w:p>
            <w:pPr>
              <w:spacing w:after="40"/>
            </w:pPr>
            <w:r/>
            <w:r>
              <w:rPr>
                <w:b/>
                <w:color w:val="FFFFFF"/>
                <w:sz w:val="17"/>
              </w:rPr>
              <w:t>Metric</w:t>
            </w:r>
          </w:p>
        </w:tc>
        <w:tc>
          <w:tcPr>
            <w:tcW w:type="dxa" w:w="2464"/>
            <w:vAlign w:val="center"/>
            <w:shd w:fill="17365D"/>
          </w:tcPr>
          <w:p>
            <w:pPr>
              <w:spacing w:after="40"/>
            </w:pPr>
            <w:r/>
            <w:r>
              <w:rPr>
                <w:b/>
                <w:color w:val="FFFFFF"/>
                <w:sz w:val="17"/>
              </w:rPr>
              <w:t>DOIM summary JSON</w:t>
            </w:r>
          </w:p>
        </w:tc>
        <w:tc>
          <w:tcPr>
            <w:tcW w:type="dxa" w:w="2464"/>
            <w:vAlign w:val="center"/>
            <w:shd w:fill="17365D"/>
          </w:tcPr>
          <w:p>
            <w:pPr>
              <w:spacing w:after="40"/>
            </w:pPr>
            <w:r/>
            <w:r>
              <w:rPr>
                <w:b/>
                <w:color w:val="FFFFFF"/>
                <w:sz w:val="17"/>
              </w:rPr>
              <w:t>Fixed summary JSON</w:t>
            </w:r>
          </w:p>
        </w:tc>
        <w:tc>
          <w:tcPr>
            <w:tcW w:type="dxa" w:w="2464"/>
            <w:vAlign w:val="center"/>
            <w:shd w:fill="17365D"/>
          </w:tcPr>
          <w:p>
            <w:pPr>
              <w:spacing w:after="40"/>
            </w:pPr>
            <w:r/>
            <w:r>
              <w:rPr>
                <w:b/>
                <w:color w:val="FFFFFF"/>
                <w:sz w:val="17"/>
              </w:rPr>
              <w:t>Cautious reading</w:t>
            </w:r>
          </w:p>
        </w:tc>
      </w:tr>
      <w:tr>
        <w:tc>
          <w:tcPr>
            <w:tcW w:type="dxa" w:w="2464"/>
            <w:vAlign w:val="center"/>
          </w:tcPr>
          <w:p>
            <w:pPr>
              <w:spacing w:after="40"/>
            </w:pPr>
            <w:r/>
            <w:r>
              <w:rPr>
                <w:b w:val="0"/>
                <w:sz w:val="16"/>
              </w:rPr>
              <w:t>Average reward</w:t>
            </w:r>
          </w:p>
        </w:tc>
        <w:tc>
          <w:tcPr>
            <w:tcW w:type="dxa" w:w="2464"/>
            <w:vAlign w:val="center"/>
          </w:tcPr>
          <w:p>
            <w:pPr>
              <w:spacing w:after="40"/>
            </w:pPr>
            <w:r/>
            <w:r>
              <w:rPr>
                <w:b w:val="0"/>
                <w:sz w:val="16"/>
              </w:rPr>
              <w:t>−0.4479</w:t>
            </w:r>
          </w:p>
        </w:tc>
        <w:tc>
          <w:tcPr>
            <w:tcW w:type="dxa" w:w="2464"/>
            <w:vAlign w:val="center"/>
          </w:tcPr>
          <w:p>
            <w:pPr>
              <w:spacing w:after="40"/>
            </w:pPr>
            <w:r/>
            <w:r>
              <w:rPr>
                <w:b w:val="0"/>
                <w:sz w:val="16"/>
              </w:rPr>
              <w:t>−0.4619</w:t>
            </w:r>
          </w:p>
        </w:tc>
        <w:tc>
          <w:tcPr>
            <w:tcW w:type="dxa" w:w="2464"/>
            <w:vAlign w:val="center"/>
          </w:tcPr>
          <w:p>
            <w:pPr>
              <w:spacing w:after="40"/>
            </w:pPr>
            <w:r/>
            <w:r>
              <w:rPr>
                <w:b w:val="0"/>
                <w:sz w:val="16"/>
              </w:rPr>
              <w:t>Small difference in one saved evaluation; reward is not directly comparable unless evaluation policy and environment state are strictly matched.</w:t>
            </w:r>
          </w:p>
        </w:tc>
      </w:tr>
      <w:tr>
        <w:tc>
          <w:tcPr>
            <w:tcW w:type="dxa" w:w="2464"/>
            <w:vAlign w:val="center"/>
            <w:shd w:fill="F1F5F9"/>
          </w:tcPr>
          <w:p>
            <w:pPr>
              <w:spacing w:after="40"/>
            </w:pPr>
            <w:r/>
            <w:r>
              <w:rPr>
                <w:b w:val="0"/>
                <w:sz w:val="16"/>
              </w:rPr>
              <w:t>Average waiting</w:t>
            </w:r>
          </w:p>
        </w:tc>
        <w:tc>
          <w:tcPr>
            <w:tcW w:type="dxa" w:w="2464"/>
            <w:vAlign w:val="center"/>
            <w:shd w:fill="F1F5F9"/>
          </w:tcPr>
          <w:p>
            <w:pPr>
              <w:spacing w:after="40"/>
            </w:pPr>
            <w:r/>
            <w:r>
              <w:rPr>
                <w:b w:val="0"/>
                <w:sz w:val="16"/>
              </w:rPr>
              <w:t>93.339</w:t>
            </w:r>
          </w:p>
        </w:tc>
        <w:tc>
          <w:tcPr>
            <w:tcW w:type="dxa" w:w="2464"/>
            <w:vAlign w:val="center"/>
            <w:shd w:fill="F1F5F9"/>
          </w:tcPr>
          <w:p>
            <w:pPr>
              <w:spacing w:after="40"/>
            </w:pPr>
            <w:r/>
            <w:r>
              <w:rPr>
                <w:b w:val="0"/>
                <w:sz w:val="16"/>
              </w:rPr>
              <w:t>115.328</w:t>
            </w:r>
          </w:p>
        </w:tc>
        <w:tc>
          <w:tcPr>
            <w:tcW w:type="dxa" w:w="2464"/>
            <w:vAlign w:val="center"/>
            <w:shd w:fill="F1F5F9"/>
          </w:tcPr>
          <w:p>
            <w:pPr>
              <w:spacing w:after="40"/>
            </w:pPr>
            <w:r/>
            <w:r>
              <w:rPr>
                <w:b w:val="0"/>
                <w:sz w:val="16"/>
              </w:rPr>
              <w:t>DOIM lower in this saved summary.</w:t>
            </w:r>
          </w:p>
        </w:tc>
      </w:tr>
      <w:tr>
        <w:tc>
          <w:tcPr>
            <w:tcW w:type="dxa" w:w="2464"/>
            <w:vAlign w:val="center"/>
          </w:tcPr>
          <w:p>
            <w:pPr>
              <w:spacing w:after="40"/>
            </w:pPr>
            <w:r/>
            <w:r>
              <w:rPr>
                <w:b w:val="0"/>
                <w:sz w:val="16"/>
              </w:rPr>
              <w:t>Average queue</w:t>
            </w:r>
          </w:p>
        </w:tc>
        <w:tc>
          <w:tcPr>
            <w:tcW w:type="dxa" w:w="2464"/>
            <w:vAlign w:val="center"/>
          </w:tcPr>
          <w:p>
            <w:pPr>
              <w:spacing w:after="40"/>
            </w:pPr>
            <w:r/>
            <w:r>
              <w:rPr>
                <w:b w:val="0"/>
                <w:sz w:val="16"/>
              </w:rPr>
              <w:t>1.496</w:t>
            </w:r>
          </w:p>
        </w:tc>
        <w:tc>
          <w:tcPr>
            <w:tcW w:type="dxa" w:w="2464"/>
            <w:vAlign w:val="center"/>
          </w:tcPr>
          <w:p>
            <w:pPr>
              <w:spacing w:after="40"/>
            </w:pPr>
            <w:r/>
            <w:r>
              <w:rPr>
                <w:b w:val="0"/>
                <w:sz w:val="16"/>
              </w:rPr>
              <w:t>2.180</w:t>
            </w:r>
          </w:p>
        </w:tc>
        <w:tc>
          <w:tcPr>
            <w:tcW w:type="dxa" w:w="2464"/>
            <w:vAlign w:val="center"/>
          </w:tcPr>
          <w:p>
            <w:pPr>
              <w:spacing w:after="40"/>
            </w:pPr>
            <w:r/>
            <w:r>
              <w:rPr>
                <w:b w:val="0"/>
                <w:sz w:val="16"/>
              </w:rPr>
              <w:t>DOIM lower in this saved summary.</w:t>
            </w:r>
          </w:p>
        </w:tc>
      </w:tr>
      <w:tr>
        <w:tc>
          <w:tcPr>
            <w:tcW w:type="dxa" w:w="2464"/>
            <w:vAlign w:val="center"/>
            <w:shd w:fill="F1F5F9"/>
          </w:tcPr>
          <w:p>
            <w:pPr>
              <w:spacing w:after="40"/>
            </w:pPr>
            <w:r/>
            <w:r>
              <w:rPr>
                <w:b w:val="0"/>
                <w:sz w:val="16"/>
              </w:rPr>
              <w:t>Average CO₂</w:t>
            </w:r>
          </w:p>
        </w:tc>
        <w:tc>
          <w:tcPr>
            <w:tcW w:type="dxa" w:w="2464"/>
            <w:vAlign w:val="center"/>
            <w:shd w:fill="F1F5F9"/>
          </w:tcPr>
          <w:p>
            <w:pPr>
              <w:spacing w:after="40"/>
            </w:pPr>
            <w:r/>
            <w:r>
              <w:rPr>
                <w:b w:val="0"/>
                <w:sz w:val="16"/>
              </w:rPr>
              <w:t>99,428.05</w:t>
            </w:r>
          </w:p>
        </w:tc>
        <w:tc>
          <w:tcPr>
            <w:tcW w:type="dxa" w:w="2464"/>
            <w:vAlign w:val="center"/>
            <w:shd w:fill="F1F5F9"/>
          </w:tcPr>
          <w:p>
            <w:pPr>
              <w:spacing w:after="40"/>
            </w:pPr>
            <w:r/>
            <w:r>
              <w:rPr>
                <w:b w:val="0"/>
                <w:sz w:val="16"/>
              </w:rPr>
              <w:t>101,169.61</w:t>
            </w:r>
          </w:p>
        </w:tc>
        <w:tc>
          <w:tcPr>
            <w:tcW w:type="dxa" w:w="2464"/>
            <w:vAlign w:val="center"/>
            <w:shd w:fill="F1F5F9"/>
          </w:tcPr>
          <w:p>
            <w:pPr>
              <w:spacing w:after="40"/>
            </w:pPr>
            <w:r/>
            <w:r>
              <w:rPr>
                <w:b w:val="0"/>
                <w:sz w:val="16"/>
              </w:rPr>
              <w:t>DOIM lower in this saved summary; verify emission aggregation and units.</w:t>
            </w:r>
          </w:p>
        </w:tc>
      </w:tr>
      <w:tr>
        <w:tc>
          <w:tcPr>
            <w:tcW w:type="dxa" w:w="2464"/>
            <w:vAlign w:val="center"/>
          </w:tcPr>
          <w:p>
            <w:pPr>
              <w:spacing w:after="40"/>
            </w:pPr>
            <w:r/>
            <w:r>
              <w:rPr>
                <w:b w:val="0"/>
                <w:sz w:val="16"/>
              </w:rPr>
              <w:t>Throughput</w:t>
            </w:r>
          </w:p>
        </w:tc>
        <w:tc>
          <w:tcPr>
            <w:tcW w:type="dxa" w:w="2464"/>
            <w:vAlign w:val="center"/>
          </w:tcPr>
          <w:p>
            <w:pPr>
              <w:spacing w:after="40"/>
            </w:pPr>
            <w:r/>
            <w:r>
              <w:rPr>
                <w:b w:val="0"/>
                <w:sz w:val="16"/>
              </w:rPr>
              <w:t>249</w:t>
            </w:r>
          </w:p>
        </w:tc>
        <w:tc>
          <w:tcPr>
            <w:tcW w:type="dxa" w:w="2464"/>
            <w:vAlign w:val="center"/>
          </w:tcPr>
          <w:p>
            <w:pPr>
              <w:spacing w:after="40"/>
            </w:pPr>
            <w:r/>
            <w:r>
              <w:rPr>
                <w:b w:val="0"/>
                <w:sz w:val="16"/>
              </w:rPr>
              <w:t>234</w:t>
            </w:r>
          </w:p>
        </w:tc>
        <w:tc>
          <w:tcPr>
            <w:tcW w:type="dxa" w:w="2464"/>
            <w:vAlign w:val="center"/>
          </w:tcPr>
          <w:p>
            <w:pPr>
              <w:spacing w:after="40"/>
            </w:pPr>
            <w:r/>
            <w:r>
              <w:rPr>
                <w:b w:val="0"/>
                <w:sz w:val="16"/>
              </w:rPr>
              <w:t>DOIM higher in this saved summary.</w:t>
            </w:r>
          </w:p>
        </w:tc>
      </w:tr>
      <w:tr>
        <w:tc>
          <w:tcPr>
            <w:tcW w:type="dxa" w:w="2464"/>
            <w:vAlign w:val="center"/>
            <w:shd w:fill="F1F5F9"/>
          </w:tcPr>
          <w:p>
            <w:pPr>
              <w:spacing w:after="40"/>
            </w:pPr>
            <w:r/>
            <w:r>
              <w:rPr>
                <w:b w:val="0"/>
                <w:sz w:val="16"/>
              </w:rPr>
              <w:t>Fairness proxy</w:t>
            </w:r>
          </w:p>
        </w:tc>
        <w:tc>
          <w:tcPr>
            <w:tcW w:type="dxa" w:w="2464"/>
            <w:vAlign w:val="center"/>
            <w:shd w:fill="F1F5F9"/>
          </w:tcPr>
          <w:p>
            <w:pPr>
              <w:spacing w:after="40"/>
            </w:pPr>
            <w:r/>
            <w:r>
              <w:rPr>
                <w:b w:val="0"/>
                <w:sz w:val="16"/>
              </w:rPr>
              <w:t>710.08</w:t>
            </w:r>
          </w:p>
        </w:tc>
        <w:tc>
          <w:tcPr>
            <w:tcW w:type="dxa" w:w="2464"/>
            <w:vAlign w:val="center"/>
            <w:shd w:fill="F1F5F9"/>
          </w:tcPr>
          <w:p>
            <w:pPr>
              <w:spacing w:after="40"/>
            </w:pPr>
            <w:r/>
            <w:r>
              <w:rPr>
                <w:b w:val="0"/>
                <w:sz w:val="16"/>
              </w:rPr>
              <w:t>672.19</w:t>
            </w:r>
          </w:p>
        </w:tc>
        <w:tc>
          <w:tcPr>
            <w:tcW w:type="dxa" w:w="2464"/>
            <w:vAlign w:val="center"/>
            <w:shd w:fill="F1F5F9"/>
          </w:tcPr>
          <w:p>
            <w:pPr>
              <w:spacing w:after="40"/>
            </w:pPr>
            <w:r/>
            <w:r>
              <w:rPr>
                <w:b w:val="0"/>
                <w:sz w:val="16"/>
              </w:rPr>
              <w:t>DOIM is worse on this metric if lower variance is considered better; current proxy may not represent vehicle-level fairness.</w:t>
            </w:r>
          </w:p>
        </w:tc>
      </w:tr>
    </w:tbl>
    <w:p>
      <w:pPr>
        <w:spacing w:after="0"/>
      </w:pPr>
    </w:p>
    <w:p>
      <w:r>
        <w:t>The committed multi-seed CSV lists seeds 42, 123, 456, 789, and 2024. DOIM has distinct rows across seeds, but fixed PPO has exactly the same reported values for all five seeds. This pattern is a red flag for the evaluation protocol: it may be evaluating one fixed model repeatedly, ignoring seeds during reset, or reusing a single stochastic trajectory. It is not evidence of five independent trained fixed-baseline runs. Also, the multi-seed CSV differs from the summary JSON for the DOIM seed-42 row (for example, average waiting and total reward). Freeze and reconcile one canonical result pipeline before reporting effect sizes.</w:t>
      </w:r>
    </w:p>
    <w:p>
      <w:r>
        <w:t>The stored final interaction matrix reports, among other values, queue–fairness correlation +0.863, queue–CO₂ −0.503, and CO₂–fairness −0.501. These are sample correlations from a single recorded simulation trajectory/windowing pipeline. They are not proof of a causal trade-off, generalizable interaction, or learned manifold.</w:t>
      </w:r>
    </w:p>
    <w:p>
      <w:pPr>
        <w:pStyle w:val="Heading1"/>
      </w:pPr>
      <w:r>
        <w:t>3. Critical technical and scientific gaps to resolve first</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2464"/>
            <w:vAlign w:val="center"/>
            <w:shd w:fill="17365D"/>
          </w:tcPr>
          <w:p>
            <w:pPr>
              <w:spacing w:after="40"/>
            </w:pPr>
            <w:r/>
            <w:r>
              <w:rPr>
                <w:b/>
                <w:color w:val="FFFFFF"/>
                <w:sz w:val="17"/>
              </w:rPr>
              <w:t>Priority</w:t>
            </w:r>
          </w:p>
        </w:tc>
        <w:tc>
          <w:tcPr>
            <w:tcW w:type="dxa" w:w="2464"/>
            <w:vAlign w:val="center"/>
            <w:shd w:fill="17365D"/>
          </w:tcPr>
          <w:p>
            <w:pPr>
              <w:spacing w:after="40"/>
            </w:pPr>
            <w:r/>
            <w:r>
              <w:rPr>
                <w:b/>
                <w:color w:val="FFFFFF"/>
                <w:sz w:val="17"/>
              </w:rPr>
              <w:t>Finding</w:t>
            </w:r>
          </w:p>
        </w:tc>
        <w:tc>
          <w:tcPr>
            <w:tcW w:type="dxa" w:w="2464"/>
            <w:vAlign w:val="center"/>
            <w:shd w:fill="17365D"/>
          </w:tcPr>
          <w:p>
            <w:pPr>
              <w:spacing w:after="40"/>
            </w:pPr>
            <w:r/>
            <w:r>
              <w:rPr>
                <w:b/>
                <w:color w:val="FFFFFF"/>
                <w:sz w:val="17"/>
              </w:rPr>
              <w:t>Why it matters</w:t>
            </w:r>
          </w:p>
        </w:tc>
        <w:tc>
          <w:tcPr>
            <w:tcW w:type="dxa" w:w="2464"/>
            <w:vAlign w:val="center"/>
            <w:shd w:fill="17365D"/>
          </w:tcPr>
          <w:p>
            <w:pPr>
              <w:spacing w:after="40"/>
            </w:pPr>
            <w:r/>
            <w:r>
              <w:rPr>
                <w:b/>
                <w:color w:val="FFFFFF"/>
                <w:sz w:val="17"/>
              </w:rPr>
              <w:t>Required correction</w:t>
            </w:r>
          </w:p>
        </w:tc>
      </w:tr>
      <w:tr>
        <w:tc>
          <w:tcPr>
            <w:tcW w:type="dxa" w:w="2464"/>
            <w:vAlign w:val="center"/>
          </w:tcPr>
          <w:p>
            <w:pPr>
              <w:spacing w:after="40"/>
            </w:pPr>
            <w:r/>
            <w:r>
              <w:rPr>
                <w:b w:val="0"/>
                <w:sz w:val="16"/>
              </w:rPr>
              <w:t>P0</w:t>
            </w:r>
          </w:p>
        </w:tc>
        <w:tc>
          <w:tcPr>
            <w:tcW w:type="dxa" w:w="2464"/>
            <w:vAlign w:val="center"/>
          </w:tcPr>
          <w:p>
            <w:pPr>
              <w:spacing w:after="40"/>
            </w:pPr>
            <w:r/>
            <w:r>
              <w:rPr>
                <w:b w:val="0"/>
                <w:sz w:val="16"/>
              </w:rPr>
              <w:t>DOIM, GCN and GRU are eval-mode and invoked under torch.no_grad() in DOIMProcessor.</w:t>
            </w:r>
          </w:p>
        </w:tc>
        <w:tc>
          <w:tcPr>
            <w:tcW w:type="dxa" w:w="2464"/>
            <w:vAlign w:val="center"/>
          </w:tcPr>
          <w:p>
            <w:pPr>
              <w:spacing w:after="40"/>
            </w:pPr>
            <w:r/>
            <w:r>
              <w:rPr>
                <w:b w:val="0"/>
                <w:sz w:val="16"/>
              </w:rPr>
              <w:t>Their parameters do not receive gradients from PPO; the stated learned manifold/adaptive preferences are not trained by current PPO script.</w:t>
            </w:r>
          </w:p>
        </w:tc>
        <w:tc>
          <w:tcPr>
            <w:tcW w:type="dxa" w:w="2464"/>
            <w:vAlign w:val="center"/>
          </w:tcPr>
          <w:p>
            <w:pPr>
              <w:spacing w:after="40"/>
            </w:pPr>
            <w:r/>
            <w:r>
              <w:rPr>
                <w:b w:val="0"/>
                <w:sz w:val="16"/>
              </w:rPr>
              <w:t>Build a differentiable Torch/Gymnasium integration and explicitly optimize DOIM parameters, or describe them honestly as fixed features and change the paper claim.</w:t>
            </w:r>
          </w:p>
        </w:tc>
      </w:tr>
      <w:tr>
        <w:tc>
          <w:tcPr>
            <w:tcW w:type="dxa" w:w="2464"/>
            <w:vAlign w:val="center"/>
            <w:shd w:fill="F1F5F9"/>
          </w:tcPr>
          <w:p>
            <w:pPr>
              <w:spacing w:after="40"/>
            </w:pPr>
            <w:r/>
            <w:r>
              <w:rPr>
                <w:b w:val="0"/>
                <w:sz w:val="16"/>
              </w:rPr>
              <w:t>P0</w:t>
            </w:r>
          </w:p>
        </w:tc>
        <w:tc>
          <w:tcPr>
            <w:tcW w:type="dxa" w:w="2464"/>
            <w:vAlign w:val="center"/>
            <w:shd w:fill="F1F5F9"/>
          </w:tcPr>
          <w:p>
            <w:pPr>
              <w:spacing w:after="40"/>
            </w:pPr>
            <w:r/>
            <w:r>
              <w:rPr>
                <w:b w:val="0"/>
                <w:sz w:val="16"/>
              </w:rPr>
              <w:t>Current training uses only 1,000 PPO timesteps.</w:t>
            </w:r>
          </w:p>
        </w:tc>
        <w:tc>
          <w:tcPr>
            <w:tcW w:type="dxa" w:w="2464"/>
            <w:vAlign w:val="center"/>
            <w:shd w:fill="F1F5F9"/>
          </w:tcPr>
          <w:p>
            <w:pPr>
              <w:spacing w:after="40"/>
            </w:pPr>
            <w:r/>
            <w:r>
              <w:rPr>
                <w:b w:val="0"/>
                <w:sz w:val="16"/>
              </w:rPr>
              <w:t>Likely insufficient for stable policy learning in a multi-intersection SUMO environment.</w:t>
            </w:r>
          </w:p>
        </w:tc>
        <w:tc>
          <w:tcPr>
            <w:tcW w:type="dxa" w:w="2464"/>
            <w:vAlign w:val="center"/>
            <w:shd w:fill="F1F5F9"/>
          </w:tcPr>
          <w:p>
            <w:pPr>
              <w:spacing w:after="40"/>
            </w:pPr>
            <w:r/>
            <w:r>
              <w:rPr>
                <w:b w:val="0"/>
                <w:sz w:val="16"/>
              </w:rPr>
              <w:t>Run learning curves and pilot scaling; choose budget from convergence and compute, not arbitrary small budget.</w:t>
            </w:r>
          </w:p>
        </w:tc>
      </w:tr>
      <w:tr>
        <w:tc>
          <w:tcPr>
            <w:tcW w:type="dxa" w:w="2464"/>
            <w:vAlign w:val="center"/>
          </w:tcPr>
          <w:p>
            <w:pPr>
              <w:spacing w:after="40"/>
            </w:pPr>
            <w:r/>
            <w:r>
              <w:rPr>
                <w:b w:val="0"/>
                <w:sz w:val="16"/>
              </w:rPr>
              <w:t>P0</w:t>
            </w:r>
          </w:p>
        </w:tc>
        <w:tc>
          <w:tcPr>
            <w:tcW w:type="dxa" w:w="2464"/>
            <w:vAlign w:val="center"/>
          </w:tcPr>
          <w:p>
            <w:pPr>
              <w:spacing w:after="40"/>
            </w:pPr>
            <w:r/>
            <w:r>
              <w:rPr>
                <w:b w:val="0"/>
                <w:sz w:val="16"/>
              </w:rPr>
              <w:t>Fixed PPO rows repeat exactly across five seeds.</w:t>
            </w:r>
          </w:p>
        </w:tc>
        <w:tc>
          <w:tcPr>
            <w:tcW w:type="dxa" w:w="2464"/>
            <w:vAlign w:val="center"/>
          </w:tcPr>
          <w:p>
            <w:pPr>
              <w:spacing w:after="40"/>
            </w:pPr>
            <w:r/>
            <w:r>
              <w:rPr>
                <w:b w:val="0"/>
                <w:sz w:val="16"/>
              </w:rPr>
              <w:t>Seed replication is not established; statistical conclusions may be invalid.</w:t>
            </w:r>
          </w:p>
        </w:tc>
        <w:tc>
          <w:tcPr>
            <w:tcW w:type="dxa" w:w="2464"/>
            <w:vAlign w:val="center"/>
          </w:tcPr>
          <w:p>
            <w:pPr>
              <w:spacing w:after="40"/>
            </w:pPr>
            <w:r/>
            <w:r>
              <w:rPr>
                <w:b w:val="0"/>
                <w:sz w:val="16"/>
              </w:rPr>
              <w:t>Train a new baseline model per seed and evaluate paired demand/episode seeds using independent fresh SUMO runs.</w:t>
            </w:r>
          </w:p>
        </w:tc>
      </w:tr>
      <w:tr>
        <w:tc>
          <w:tcPr>
            <w:tcW w:type="dxa" w:w="2464"/>
            <w:vAlign w:val="center"/>
            <w:shd w:fill="F1F5F9"/>
          </w:tcPr>
          <w:p>
            <w:pPr>
              <w:spacing w:after="40"/>
            </w:pPr>
            <w:r/>
            <w:r>
              <w:rPr>
                <w:b w:val="0"/>
                <w:sz w:val="16"/>
              </w:rPr>
              <w:t>P0</w:t>
            </w:r>
          </w:p>
        </w:tc>
        <w:tc>
          <w:tcPr>
            <w:tcW w:type="dxa" w:w="2464"/>
            <w:vAlign w:val="center"/>
            <w:shd w:fill="F1F5F9"/>
          </w:tcPr>
          <w:p>
            <w:pPr>
              <w:spacing w:after="40"/>
            </w:pPr>
            <w:r/>
            <w:r>
              <w:rPr>
                <w:b w:val="0"/>
                <w:sz w:val="16"/>
              </w:rPr>
              <w:t>Summary JSON and CSV disagree.</w:t>
            </w:r>
          </w:p>
        </w:tc>
        <w:tc>
          <w:tcPr>
            <w:tcW w:type="dxa" w:w="2464"/>
            <w:vAlign w:val="center"/>
            <w:shd w:fill="F1F5F9"/>
          </w:tcPr>
          <w:p>
            <w:pPr>
              <w:spacing w:after="40"/>
            </w:pPr>
            <w:r/>
            <w:r>
              <w:rPr>
                <w:b w:val="0"/>
                <w:sz w:val="16"/>
              </w:rPr>
              <w:t>Results are not traceable to a single run identity.</w:t>
            </w:r>
          </w:p>
        </w:tc>
        <w:tc>
          <w:tcPr>
            <w:tcW w:type="dxa" w:w="2464"/>
            <w:vAlign w:val="center"/>
            <w:shd w:fill="F1F5F9"/>
          </w:tcPr>
          <w:p>
            <w:pPr>
              <w:spacing w:after="40"/>
            </w:pPr>
            <w:r/>
            <w:r>
              <w:rPr>
                <w:b w:val="0"/>
                <w:sz w:val="16"/>
              </w:rPr>
              <w:t>Create immutable run manifests and regenerate all summaries from raw per-step CSV/Parquet logs.</w:t>
            </w:r>
          </w:p>
        </w:tc>
      </w:tr>
      <w:tr>
        <w:tc>
          <w:tcPr>
            <w:tcW w:type="dxa" w:w="2464"/>
            <w:vAlign w:val="center"/>
          </w:tcPr>
          <w:p>
            <w:pPr>
              <w:spacing w:after="40"/>
            </w:pPr>
            <w:r/>
            <w:r>
              <w:rPr>
                <w:b w:val="0"/>
                <w:sz w:val="16"/>
              </w:rPr>
              <w:t>P0</w:t>
            </w:r>
          </w:p>
        </w:tc>
        <w:tc>
          <w:tcPr>
            <w:tcW w:type="dxa" w:w="2464"/>
            <w:vAlign w:val="center"/>
          </w:tcPr>
          <w:p>
            <w:pPr>
              <w:spacing w:after="40"/>
            </w:pPr>
            <w:r/>
            <w:r>
              <w:rPr>
                <w:b w:val="0"/>
                <w:sz w:val="16"/>
              </w:rPr>
              <w:t>Objective correlation is used as interaction input.</w:t>
            </w:r>
          </w:p>
        </w:tc>
        <w:tc>
          <w:tcPr>
            <w:tcW w:type="dxa" w:w="2464"/>
            <w:vAlign w:val="center"/>
          </w:tcPr>
          <w:p>
            <w:pPr>
              <w:spacing w:after="40"/>
            </w:pPr>
            <w:r/>
            <w:r>
              <w:rPr>
                <w:b w:val="0"/>
                <w:sz w:val="16"/>
              </w:rPr>
              <w:t>Pearson correlation can reflect shared demand trends, autocorrelation, scale/normalization artefacts, and lagged effects.</w:t>
            </w:r>
          </w:p>
        </w:tc>
        <w:tc>
          <w:tcPr>
            <w:tcW w:type="dxa" w:w="2464"/>
            <w:vAlign w:val="center"/>
          </w:tcPr>
          <w:p>
            <w:pPr>
              <w:spacing w:after="40"/>
            </w:pPr>
            <w:r/>
            <w:r>
              <w:rPr>
                <w:b w:val="0"/>
                <w:sz w:val="16"/>
              </w:rPr>
              <w:t>Estimate conditional/lagged relationships, uncertainty, and policy-relevant interaction effects; validate against controlled perturbations.</w:t>
            </w:r>
          </w:p>
        </w:tc>
      </w:tr>
      <w:tr>
        <w:tc>
          <w:tcPr>
            <w:tcW w:type="dxa" w:w="2464"/>
            <w:vAlign w:val="center"/>
            <w:shd w:fill="F1F5F9"/>
          </w:tcPr>
          <w:p>
            <w:pPr>
              <w:spacing w:after="40"/>
            </w:pPr>
            <w:r/>
            <w:r>
              <w:rPr>
                <w:b w:val="0"/>
                <w:sz w:val="16"/>
              </w:rPr>
              <w:t>P0</w:t>
            </w:r>
          </w:p>
        </w:tc>
        <w:tc>
          <w:tcPr>
            <w:tcW w:type="dxa" w:w="2464"/>
            <w:vAlign w:val="center"/>
            <w:shd w:fill="F1F5F9"/>
          </w:tcPr>
          <w:p>
            <w:pPr>
              <w:spacing w:after="40"/>
            </w:pPr>
            <w:r/>
            <w:r>
              <w:rPr>
                <w:b w:val="0"/>
                <w:sz w:val="16"/>
              </w:rPr>
              <w:t>Five-node graph helper is a 3×3 grid (nine nodes) while traffic-light extraction expects five controllable TLS.</w:t>
            </w:r>
          </w:p>
        </w:tc>
        <w:tc>
          <w:tcPr>
            <w:tcW w:type="dxa" w:w="2464"/>
            <w:vAlign w:val="center"/>
            <w:shd w:fill="F1F5F9"/>
          </w:tcPr>
          <w:p>
            <w:pPr>
              <w:spacing w:after="40"/>
            </w:pPr>
            <w:r/>
            <w:r>
              <w:rPr>
                <w:b w:val="0"/>
                <w:sz w:val="16"/>
              </w:rPr>
              <w:t>Potential mismatch between graph node count, feature matrix length, node identity ordering and traffic-light control mapping.</w:t>
            </w:r>
          </w:p>
        </w:tc>
        <w:tc>
          <w:tcPr>
            <w:tcW w:type="dxa" w:w="2464"/>
            <w:vAlign w:val="center"/>
            <w:shd w:fill="F1F5F9"/>
          </w:tcPr>
          <w:p>
            <w:pPr>
              <w:spacing w:after="40"/>
            </w:pPr>
            <w:r/>
            <w:r>
              <w:rPr>
                <w:b w:val="0"/>
                <w:sz w:val="16"/>
              </w:rPr>
              <w:t>Assert graph node IDs and feature rows are identical, or build the graph from actual road/intersection topology and map indices explicitly.</w:t>
            </w:r>
          </w:p>
        </w:tc>
      </w:tr>
      <w:tr>
        <w:tc>
          <w:tcPr>
            <w:tcW w:type="dxa" w:w="2464"/>
            <w:vAlign w:val="center"/>
          </w:tcPr>
          <w:p>
            <w:pPr>
              <w:spacing w:after="40"/>
            </w:pPr>
            <w:r/>
            <w:r>
              <w:rPr>
                <w:b w:val="0"/>
                <w:sz w:val="16"/>
              </w:rPr>
              <w:t>P1</w:t>
            </w:r>
          </w:p>
        </w:tc>
        <w:tc>
          <w:tcPr>
            <w:tcW w:type="dxa" w:w="2464"/>
            <w:vAlign w:val="center"/>
          </w:tcPr>
          <w:p>
            <w:pPr>
              <w:spacing w:after="40"/>
            </w:pPr>
            <w:r/>
            <w:r>
              <w:rPr>
                <w:b w:val="0"/>
                <w:sz w:val="16"/>
              </w:rPr>
              <w:t>Fairness is variance of intersection waiting-time aggregates.</w:t>
            </w:r>
          </w:p>
        </w:tc>
        <w:tc>
          <w:tcPr>
            <w:tcW w:type="dxa" w:w="2464"/>
            <w:vAlign w:val="center"/>
          </w:tcPr>
          <w:p>
            <w:pPr>
              <w:spacing w:after="40"/>
            </w:pPr>
            <w:r/>
            <w:r>
              <w:rPr>
                <w:b w:val="0"/>
                <w:sz w:val="16"/>
              </w:rPr>
              <w:t>This is not equivalent to fairness across vehicles, approaches, or user groups.</w:t>
            </w:r>
          </w:p>
        </w:tc>
        <w:tc>
          <w:tcPr>
            <w:tcW w:type="dxa" w:w="2464"/>
            <w:vAlign w:val="center"/>
          </w:tcPr>
          <w:p>
            <w:pPr>
              <w:spacing w:after="40"/>
            </w:pPr>
            <w:r/>
            <w:r>
              <w:rPr>
                <w:b w:val="0"/>
                <w:sz w:val="16"/>
              </w:rPr>
              <w:t>Add vehicle-level maximum/quantile delay, Jain index or Gini-based delay disparity, and underserved-approach metrics.</w:t>
            </w:r>
          </w:p>
        </w:tc>
      </w:tr>
      <w:tr>
        <w:tc>
          <w:tcPr>
            <w:tcW w:type="dxa" w:w="2464"/>
            <w:vAlign w:val="center"/>
            <w:shd w:fill="F1F5F9"/>
          </w:tcPr>
          <w:p>
            <w:pPr>
              <w:spacing w:after="40"/>
            </w:pPr>
            <w:r/>
            <w:r>
              <w:rPr>
                <w:b w:val="0"/>
                <w:sz w:val="16"/>
              </w:rPr>
              <w:t>P1</w:t>
            </w:r>
          </w:p>
        </w:tc>
        <w:tc>
          <w:tcPr>
            <w:tcW w:type="dxa" w:w="2464"/>
            <w:vAlign w:val="center"/>
            <w:shd w:fill="F1F5F9"/>
          </w:tcPr>
          <w:p>
            <w:pPr>
              <w:spacing w:after="40"/>
            </w:pPr>
            <w:r/>
            <w:r>
              <w:rPr>
                <w:b w:val="0"/>
                <w:sz w:val="16"/>
              </w:rPr>
              <w:t>CO₂ is instantaneous vehicle emission aggregated once per simulation step.</w:t>
            </w:r>
          </w:p>
        </w:tc>
        <w:tc>
          <w:tcPr>
            <w:tcW w:type="dxa" w:w="2464"/>
            <w:vAlign w:val="center"/>
            <w:shd w:fill="F1F5F9"/>
          </w:tcPr>
          <w:p>
            <w:pPr>
              <w:spacing w:after="40"/>
            </w:pPr>
            <w:r/>
            <w:r>
              <w:rPr>
                <w:b w:val="0"/>
                <w:sz w:val="16"/>
              </w:rPr>
              <w:t>Summing per-step rates requires correct unit/time conversion; vehicle set and lane coverage may double count or omit vehicles.</w:t>
            </w:r>
          </w:p>
        </w:tc>
        <w:tc>
          <w:tcPr>
            <w:tcW w:type="dxa" w:w="2464"/>
            <w:vAlign w:val="center"/>
            <w:shd w:fill="F1F5F9"/>
          </w:tcPr>
          <w:p>
            <w:pPr>
              <w:spacing w:after="40"/>
            </w:pPr>
            <w:r/>
            <w:r>
              <w:rPr>
                <w:b w:val="0"/>
                <w:sz w:val="16"/>
              </w:rPr>
              <w:t>Document SUMO emission units, integrate over step duration, validate with SUMO outputs, and define network boundary.</w:t>
            </w:r>
          </w:p>
        </w:tc>
      </w:tr>
      <w:tr>
        <w:tc>
          <w:tcPr>
            <w:tcW w:type="dxa" w:w="2464"/>
            <w:vAlign w:val="center"/>
          </w:tcPr>
          <w:p>
            <w:pPr>
              <w:spacing w:after="40"/>
            </w:pPr>
            <w:r/>
            <w:r>
              <w:rPr>
                <w:b w:val="0"/>
                <w:sz w:val="16"/>
              </w:rPr>
              <w:t>P1</w:t>
            </w:r>
          </w:p>
        </w:tc>
        <w:tc>
          <w:tcPr>
            <w:tcW w:type="dxa" w:w="2464"/>
            <w:vAlign w:val="center"/>
          </w:tcPr>
          <w:p>
            <w:pPr>
              <w:spacing w:after="40"/>
            </w:pPr>
            <w:r/>
            <w:r>
              <w:rPr>
                <w:b w:val="0"/>
                <w:sz w:val="16"/>
              </w:rPr>
              <w:t>Throughput uses getArrivedNumber() increment logic.</w:t>
            </w:r>
          </w:p>
        </w:tc>
        <w:tc>
          <w:tcPr>
            <w:tcW w:type="dxa" w:w="2464"/>
            <w:vAlign w:val="center"/>
          </w:tcPr>
          <w:p>
            <w:pPr>
              <w:spacing w:after="40"/>
            </w:pPr>
            <w:r/>
            <w:r>
              <w:rPr>
                <w:b w:val="0"/>
                <w:sz w:val="16"/>
              </w:rPr>
              <w:t>Confirm whether this is per-step arrivals or cumulative arrivals and handle reset/teleporting consistently.</w:t>
            </w:r>
          </w:p>
        </w:tc>
        <w:tc>
          <w:tcPr>
            <w:tcW w:type="dxa" w:w="2464"/>
            <w:vAlign w:val="center"/>
          </w:tcPr>
          <w:p>
            <w:pPr>
              <w:spacing w:after="40"/>
            </w:pPr>
            <w:r/>
            <w:r>
              <w:rPr>
                <w:b w:val="0"/>
                <w:sz w:val="16"/>
              </w:rPr>
              <w:t>Test semantics; report completed vehicles per hour and demand-normalized throughput.</w:t>
            </w:r>
          </w:p>
        </w:tc>
      </w:tr>
      <w:tr>
        <w:tc>
          <w:tcPr>
            <w:tcW w:type="dxa" w:w="2464"/>
            <w:vAlign w:val="center"/>
            <w:shd w:fill="F1F5F9"/>
          </w:tcPr>
          <w:p>
            <w:pPr>
              <w:spacing w:after="40"/>
            </w:pPr>
            <w:r/>
            <w:r>
              <w:rPr>
                <w:b w:val="0"/>
                <w:sz w:val="16"/>
              </w:rPr>
              <w:t>P1</w:t>
            </w:r>
          </w:p>
        </w:tc>
        <w:tc>
          <w:tcPr>
            <w:tcW w:type="dxa" w:w="2464"/>
            <w:vAlign w:val="center"/>
            <w:shd w:fill="F1F5F9"/>
          </w:tcPr>
          <w:p>
            <w:pPr>
              <w:spacing w:after="40"/>
            </w:pPr>
            <w:r/>
            <w:r>
              <w:rPr>
                <w:b w:val="0"/>
                <w:sz w:val="16"/>
              </w:rPr>
              <w:t>Reward is negative weighted urgency scalarization.</w:t>
            </w:r>
          </w:p>
        </w:tc>
        <w:tc>
          <w:tcPr>
            <w:tcW w:type="dxa" w:w="2464"/>
            <w:vAlign w:val="center"/>
            <w:shd w:fill="F1F5F9"/>
          </w:tcPr>
          <w:p>
            <w:pPr>
              <w:spacing w:after="40"/>
            </w:pPr>
            <w:r/>
            <w:r>
              <w:rPr>
                <w:b w:val="0"/>
                <w:sz w:val="16"/>
              </w:rPr>
              <w:t>No explicit safety constraint or guaranteed Pareto trade-off handling; weight policy can exploit poor normalization.</w:t>
            </w:r>
          </w:p>
        </w:tc>
        <w:tc>
          <w:tcPr>
            <w:tcW w:type="dxa" w:w="2464"/>
            <w:vAlign w:val="center"/>
            <w:shd w:fill="F1F5F9"/>
          </w:tcPr>
          <w:p>
            <w:pPr>
              <w:spacing w:after="40"/>
            </w:pPr>
            <w:r/>
            <w:r>
              <w:rPr>
                <w:b w:val="0"/>
                <w:sz w:val="16"/>
              </w:rPr>
              <w:t>Use constrained RL / Lagrangian or safety shield; include Pareto analysis and sensitivity to normalization bounds.</w:t>
            </w:r>
          </w:p>
        </w:tc>
      </w:tr>
      <w:tr>
        <w:tc>
          <w:tcPr>
            <w:tcW w:type="dxa" w:w="2464"/>
            <w:vAlign w:val="center"/>
          </w:tcPr>
          <w:p>
            <w:pPr>
              <w:spacing w:after="40"/>
            </w:pPr>
            <w:r/>
            <w:r>
              <w:rPr>
                <w:b w:val="0"/>
                <w:sz w:val="16"/>
              </w:rPr>
              <w:t>P1</w:t>
            </w:r>
          </w:p>
        </w:tc>
        <w:tc>
          <w:tcPr>
            <w:tcW w:type="dxa" w:w="2464"/>
            <w:vAlign w:val="center"/>
          </w:tcPr>
          <w:p>
            <w:pPr>
              <w:spacing w:after="40"/>
            </w:pPr>
            <w:r/>
            <w:r>
              <w:rPr>
                <w:b w:val="0"/>
                <w:sz w:val="16"/>
              </w:rPr>
              <w:t>Action space toggles five signals using binary keep/change decisions.</w:t>
            </w:r>
          </w:p>
        </w:tc>
        <w:tc>
          <w:tcPr>
            <w:tcW w:type="dxa" w:w="2464"/>
            <w:vAlign w:val="center"/>
          </w:tcPr>
          <w:p>
            <w:pPr>
              <w:spacing w:after="40"/>
            </w:pPr>
            <w:r/>
            <w:r>
              <w:rPr>
                <w:b w:val="0"/>
                <w:sz w:val="16"/>
              </w:rPr>
              <w:t>Changing/keeping a phase may not specify legal phase transitions, min-green, yellow/all-red, pedestrian clearance, or action duration.</w:t>
            </w:r>
          </w:p>
        </w:tc>
        <w:tc>
          <w:tcPr>
            <w:tcW w:type="dxa" w:w="2464"/>
            <w:vAlign w:val="center"/>
          </w:tcPr>
          <w:p>
            <w:pPr>
              <w:spacing w:after="40"/>
            </w:pPr>
            <w:r/>
            <w:r>
              <w:rPr>
                <w:b w:val="0"/>
                <w:sz w:val="16"/>
              </w:rPr>
              <w:t>Formalize phase/action semantics, enforce SUMO safety transitions and minimum/maximum green constraints.</w:t>
            </w:r>
          </w:p>
        </w:tc>
      </w:tr>
      <w:tr>
        <w:tc>
          <w:tcPr>
            <w:tcW w:type="dxa" w:w="2464"/>
            <w:vAlign w:val="center"/>
            <w:shd w:fill="F1F5F9"/>
          </w:tcPr>
          <w:p>
            <w:pPr>
              <w:spacing w:after="40"/>
            </w:pPr>
            <w:r/>
            <w:r>
              <w:rPr>
                <w:b w:val="0"/>
                <w:sz w:val="16"/>
              </w:rPr>
              <w:t>P1</w:t>
            </w:r>
          </w:p>
        </w:tc>
        <w:tc>
          <w:tcPr>
            <w:tcW w:type="dxa" w:w="2464"/>
            <w:vAlign w:val="center"/>
            <w:shd w:fill="F1F5F9"/>
          </w:tcPr>
          <w:p>
            <w:pPr>
              <w:spacing w:after="40"/>
            </w:pPr>
            <w:r/>
            <w:r>
              <w:rPr>
                <w:b w:val="0"/>
                <w:sz w:val="16"/>
              </w:rPr>
              <w:t>Observation does not clearly disclose objective vector or raw network context to PPO (manifold + weights).</w:t>
            </w:r>
          </w:p>
        </w:tc>
        <w:tc>
          <w:tcPr>
            <w:tcW w:type="dxa" w:w="2464"/>
            <w:vAlign w:val="center"/>
            <w:shd w:fill="F1F5F9"/>
          </w:tcPr>
          <w:p>
            <w:pPr>
              <w:spacing w:after="40"/>
            </w:pPr>
            <w:r/>
            <w:r>
              <w:rPr>
                <w:b w:val="0"/>
                <w:sz w:val="16"/>
              </w:rPr>
              <w:t>With frozen encoders, observations may omit sufficient state and create partially observable control.</w:t>
            </w:r>
          </w:p>
        </w:tc>
        <w:tc>
          <w:tcPr>
            <w:tcW w:type="dxa" w:w="2464"/>
            <w:vAlign w:val="center"/>
            <w:shd w:fill="F1F5F9"/>
          </w:tcPr>
          <w:p>
            <w:pPr>
              <w:spacing w:after="40"/>
            </w:pPr>
            <w:r/>
            <w:r>
              <w:rPr>
                <w:b w:val="0"/>
                <w:sz w:val="16"/>
              </w:rPr>
              <w:t>Compare raw state, GNN-GRU state, manifold-only and manifold-plus-objective variants; define Markov/partial-observation assumptions.</w:t>
            </w:r>
          </w:p>
        </w:tc>
      </w:tr>
    </w:tbl>
    <w:p>
      <w:pPr>
        <w:spacing w:after="0"/>
      </w:pPr>
    </w:p>
    <w:p>
      <w:pPr>
        <w:pStyle w:val="Heading1"/>
      </w:pPr>
      <w:r>
        <w:t>4. Recommended research question and contribution boundary</w:t>
      </w:r>
    </w:p>
    <w:p>
      <w:pPr>
        <w:pStyle w:val="Heading2"/>
      </w:pPr>
      <w:r>
        <w:t>Research question</w:t>
      </w:r>
    </w:p>
    <w:p>
      <w:r>
        <w:t>Can a trainable, state-conditioned objective-interaction representation estimate changing multi-objective trade-offs in a traffic network and use that representation to improve robust signal control under nonstationary demand, while maintaining explicit safety and vehicle-level fairness constraints?</w:t>
      </w:r>
    </w:p>
    <w:p>
      <w:pPr>
        <w:pStyle w:val="Heading2"/>
      </w:pPr>
      <w:r>
        <w:t>Recommended contribution package (hypotheses to test)</w:t>
      </w:r>
    </w:p>
    <w:p>
      <w:pPr>
        <w:pStyle w:val="ListNumber"/>
        <w:spacing w:after="40"/>
      </w:pPr>
      <w:r>
        <w:t>Interaction-aware objective representation: learn a time-varying interaction state from objective trajectories and traffic context, with uncertainty and lagged dependencies rather than using only a correlation snapshot.</w:t>
      </w:r>
    </w:p>
    <w:p>
      <w:pPr>
        <w:pStyle w:val="ListNumber"/>
        <w:spacing w:after="40"/>
      </w:pPr>
      <w:r>
        <w:t>Policy-coupled preference adaptation: jointly train or carefully alternate-update the interaction representation and PPO actor-critic so preference outputs causally influence policy gradients and can be ablated.</w:t>
      </w:r>
    </w:p>
    <w:p>
      <w:pPr>
        <w:pStyle w:val="ListNumber"/>
        <w:spacing w:after="40"/>
      </w:pPr>
      <w:r>
        <w:t>Constraint-aware control: enforce phase legality, minimum green/yellow/all-red timing and safety constraints; treat fairness/safety as constrained objectives rather than soft preferences alone.</w:t>
      </w:r>
    </w:p>
    <w:p>
      <w:pPr>
        <w:pStyle w:val="ListNumber"/>
        <w:spacing w:after="40"/>
      </w:pPr>
      <w:r>
        <w:t>Shift-robust evaluation: evaluate across normal, rush-hour, directional surges, incident-like disturbances, and held-out demand patterns; assess adaptation speed and worst-case degradation.</w:t>
      </w:r>
    </w:p>
    <w:p>
      <w:pPr>
        <w:pStyle w:val="ListNumber"/>
        <w:spacing w:after="40"/>
      </w:pPr>
      <w:r>
        <w:t>Reproducibility and evidence: provide multiple independent training seeds, paired evaluation episodes, uncertainty intervals, complete ablations, compute costs, and reproducible configs.</w:t>
      </w:r>
    </w:p>
    <w:p>
      <w:r>
        <w:t>Potential title (working): “Learning State-Dependent Objective Interactions for Robust Multi-Objective Traffic Signal Control under Nonstationary Demand.” Avoid asserting “first,” “causal,” “Pareto-optimal,” or “real-time deployable” until each claim is verified.</w:t>
      </w:r>
    </w:p>
    <w:p>
      <w:pPr>
        <w:pStyle w:val="Heading1"/>
      </w:pPr>
      <w:r>
        <w:t>5. Phased implementation and research workflow</w:t>
      </w:r>
    </w:p>
    <w:p>
      <w:pPr>
        <w:pStyle w:val="Heading2"/>
      </w:pPr>
      <w:r>
        <w:t>Phase 0 — Reproducible baseline freeze (Week 1)</w:t>
      </w:r>
    </w:p>
    <w:p>
      <w:r>
        <w:t>Goal: establish what the current code actually does and preserve it as a baseline.</w:t>
      </w:r>
    </w:p>
    <w:p>
      <w:pPr>
        <w:pStyle w:val="ListBullet"/>
        <w:spacing w:after="40"/>
      </w:pPr>
      <w:r>
        <w:t>Create a tagged baseline commit and archive current checkpoints, configs, result files, package versions, SUMO version, OS, hardware and commit SHA.</w:t>
      </w:r>
    </w:p>
    <w:p>
      <w:pPr>
        <w:pStyle w:val="ListBullet"/>
        <w:spacing w:after="40"/>
      </w:pPr>
      <w:r>
        <w:t>Add a run manifest per experiment: run_id, git_sha, model_sha, algorithm, train_seed, eval_seed, scenario, demand_seed, timesteps, hyperparameters, start/end time and software versions.</w:t>
      </w:r>
    </w:p>
    <w:p>
      <w:pPr>
        <w:pStyle w:val="ListBullet"/>
        <w:spacing w:after="40"/>
      </w:pPr>
      <w:r>
        <w:t>Rewrite evaluation so each model and training seed is independently instantiated; confirm fixed PPO is retrained for every seed.</w:t>
      </w:r>
    </w:p>
    <w:p>
      <w:pPr>
        <w:pStyle w:val="ListBullet"/>
        <w:spacing w:after="40"/>
      </w:pPr>
      <w:r>
        <w:t>Run deterministic smoke tests twice with same seeds and compare per-step objective/action traces; define expected stochastic tolerances.</w:t>
      </w:r>
    </w:p>
    <w:p>
      <w:pPr>
        <w:pStyle w:val="ListBullet"/>
        <w:spacing w:after="40"/>
      </w:pPr>
      <w:r>
        <w:t>Regenerate summary JSON/CSV only from raw episode logs; resolve existing JSON/CSV inconsistencies.</w:t>
      </w:r>
    </w:p>
    <w:p>
      <w:r>
        <w:rPr>
          <w:b/>
        </w:rPr>
        <w:t>Phase outputs:</w:t>
      </w:r>
      <w:r>
        <w:t xml:space="preserve"> baseline tag, reproducibility report, corrected run ledger, baseline plots, tests for seed independence.</w:t>
      </w:r>
    </w:p>
    <w:p>
      <w:r>
        <w:rPr>
          <w:b/>
        </w:rPr>
        <w:t>Exit criterion:</w:t>
      </w:r>
      <w:r>
        <w:t xml:space="preserve"> independent reruns reproduce within declared tolerances; no duplicate fixed-model rows unless the run manifest proves intentional reuse.</w:t>
      </w:r>
    </w:p>
    <w:p>
      <w:pPr>
        <w:pStyle w:val="Heading2"/>
      </w:pPr>
      <w:r>
        <w:t>Phase 1 — Formalize traffic task and metrics (Weeks 2–3)</w:t>
      </w:r>
    </w:p>
    <w:p>
      <w:r>
        <w:t>Goal: make every state, action, objective and constraint scientifically defensible.</w:t>
      </w:r>
    </w:p>
    <w:p>
      <w:pPr>
        <w:pStyle w:val="ListBullet"/>
        <w:spacing w:after="40"/>
      </w:pPr>
      <w:r>
        <w:t>Write an MDP/POMDP definition: state x_t, action a_t, transition, reward vector, episode horizon, discount, observation delay and terminal conditions.</w:t>
      </w:r>
    </w:p>
    <w:p>
      <w:pPr>
        <w:pStyle w:val="ListBullet"/>
        <w:spacing w:after="40"/>
      </w:pPr>
      <w:r>
        <w:t>Fix graph topology: generate nodes/edges from actual SUMO network/TLS mapping; assert number/order/IDs of feature rows and graph nodes. Do not silently mix a 3×3 nine-node graph with five controlled lights.</w:t>
      </w:r>
    </w:p>
    <w:p>
      <w:pPr>
        <w:pStyle w:val="ListBullet"/>
        <w:spacing w:after="40"/>
      </w:pPr>
      <w:r>
        <w:t>Define objective units and directions. Waiting: vehicle-seconds; queue: halted vehicles or queue length; CO₂: integrated mg/g over the time step and total episode; throughput: completed vehicles per hour; fairness: vehicle/approach delay distribution.</w:t>
      </w:r>
    </w:p>
    <w:p>
      <w:pPr>
        <w:pStyle w:val="ListBullet"/>
        <w:spacing w:after="40"/>
      </w:pPr>
      <w:r>
        <w:t>Implement vehicle-level fairness metrics (e.g., mean delay, 95th percentile, max delay, Gini/Jain index, per-approach disparity) and protect against empty populations.</w:t>
      </w:r>
    </w:p>
    <w:p>
      <w:pPr>
        <w:pStyle w:val="ListBullet"/>
        <w:spacing w:after="40"/>
      </w:pPr>
      <w:r>
        <w:t>Validate SUMO emissions and throughput against independent SUMO output files; check that lane/intersection aggregation avoids double counting.</w:t>
      </w:r>
    </w:p>
    <w:p>
      <w:pPr>
        <w:pStyle w:val="ListBullet"/>
        <w:spacing w:after="40"/>
      </w:pPr>
      <w:r>
        <w:t>Define legal actions and transition state machine with min-green, yellow, all-red, pedestrian clearance where modelled, and action duration; log every transition.</w:t>
      </w:r>
    </w:p>
    <w:p>
      <w:r>
        <w:rPr>
          <w:b/>
        </w:rPr>
        <w:t>Phase outputs:</w:t>
      </w:r>
      <w:r>
        <w:t xml:space="preserve"> formal problem statement, topology mapping, objective specification table, metric validation tests, safe signal-transition controller.</w:t>
      </w:r>
    </w:p>
    <w:p>
      <w:r>
        <w:rPr>
          <w:b/>
        </w:rPr>
        <w:t>Exit criterion:</w:t>
      </w:r>
      <w:r>
        <w:t xml:space="preserve"> all metrics unit-tested against hand-computed cases and independent SUMO counters; invalid signal changes are impossible.</w:t>
      </w:r>
    </w:p>
    <w:p>
      <w:pPr>
        <w:pStyle w:val="Heading2"/>
      </w:pPr>
      <w:r>
        <w:t>Phase 2 — Make DOIM genuinely trainable (Weeks 4–6)</w:t>
      </w:r>
    </w:p>
    <w:p>
      <w:r>
        <w:t>Goal: ensure the claimed learned manifold is updated by a declared objective.</w:t>
      </w:r>
    </w:p>
    <w:p>
      <w:pPr>
        <w:pStyle w:val="ListBullet"/>
        <w:spacing w:after="40"/>
      </w:pPr>
      <w:r>
        <w:t>Refactor DOIMProcessor from NumPy/torch.no_grad boundary into a Torch nn.Module or batched differentiable feature pipeline. Keep SUMO stepping non-differentiable, but keep model inference and optimization in PyTorch.</w:t>
      </w:r>
    </w:p>
    <w:p>
      <w:pPr>
        <w:pStyle w:val="ListBullet"/>
        <w:spacing w:after="40"/>
      </w:pPr>
      <w:r>
        <w:t>Use a trainable spatial encoder and temporal encoder. Consider graph attention / edge-conditioned message passing only if ablation shows benefit over GCN; avoid complexity without evidence.</w:t>
      </w:r>
    </w:p>
    <w:p>
      <w:pPr>
        <w:pStyle w:val="ListBullet"/>
        <w:spacing w:after="40"/>
      </w:pPr>
      <w:r>
        <w:t>Generate an interaction tensor from a defined estimator. Candidates: lagged cross-covariance/correlation with shrinkage; conditional residual dependence after removing demand/time trend; learned interaction graph with sparsity/temporal regularization; ensemble uncertainty.</w:t>
      </w:r>
    </w:p>
    <w:p>
      <w:pPr>
        <w:pStyle w:val="ListBullet"/>
        <w:spacing w:after="40"/>
      </w:pPr>
      <w:r>
        <w:t>Feed traffic context, normalized objective vector, interaction state and uncertainty to DOIM. Output a bounded preference simplex; document whether preferences are state-conditioned, risk-sensitive and constrained.</w:t>
      </w:r>
    </w:p>
    <w:p>
      <w:pPr>
        <w:pStyle w:val="ListBullet"/>
        <w:spacing w:after="40"/>
      </w:pPr>
      <w:r>
        <w:t>Couple training to PPO explicitly. Option A: joint actor-critic plus DOIM parameters optimized using PPO return/advantage gradients. Option B: alternating update with a differentiable auxiliary objective predicting counterfactual objective changes. State exact losses and update schedule.</w:t>
      </w:r>
    </w:p>
    <w:p>
      <w:pPr>
        <w:pStyle w:val="ListBullet"/>
        <w:spacing w:after="40"/>
      </w:pPr>
      <w:r>
        <w:t>Use entropy/temperature regularization and preference smoothness to prevent pathological oscillation; penalize abrupt weight changes unless a detected regime shift justifies it.</w:t>
      </w:r>
    </w:p>
    <w:p>
      <w:pPr>
        <w:pStyle w:val="ListBullet"/>
        <w:spacing w:after="40"/>
      </w:pPr>
      <w:r>
        <w:t>Add gradient-flow tests: verify nonzero gradients and parameter changes for GCN, GRU, interaction encoder, manifold encoder and preference head after training; save before/after checksums.</w:t>
      </w:r>
    </w:p>
    <w:p>
      <w:pPr>
        <w:pStyle w:val="ListBullet"/>
        <w:spacing w:after="40"/>
      </w:pPr>
      <w:r>
        <w:t>Compare online adaptation versus frozen pretrained DOIM; avoid data leakage from evaluation trajectories into training.</w:t>
      </w:r>
    </w:p>
    <w:p>
      <w:r>
        <w:rPr>
          <w:b/>
        </w:rPr>
        <w:t>Phase outputs:</w:t>
      </w:r>
      <w:r>
        <w:t xml:space="preserve"> trainable DOIM v2, equations and pseudocode, gradient-flow tests, learning curves, stable checkpoints.</w:t>
      </w:r>
    </w:p>
    <w:p>
      <w:r>
        <w:rPr>
          <w:b/>
        </w:rPr>
        <w:t>Exit criterion:</w:t>
      </w:r>
      <w:r>
        <w:t xml:space="preserve"> all claimed learnable modules demonstrably update; learned weights respond to controlled objective perturbations and improve a held-out validation objective.</w:t>
      </w:r>
    </w:p>
    <w:p>
      <w:pPr>
        <w:pStyle w:val="Heading2"/>
      </w:pPr>
      <w:r>
        <w:t>Phase 3 — Strengthen interaction science and novelty (Weeks 6–8)</w:t>
      </w:r>
    </w:p>
    <w:p>
      <w:r>
        <w:t>Goal: show interaction estimates are meaningful, not just correlated traces.</w:t>
      </w:r>
    </w:p>
    <w:p>
      <w:pPr>
        <w:pStyle w:val="ListBullet"/>
        <w:spacing w:after="40"/>
      </w:pPr>
      <w:r>
        <w:t>Pre-register hypotheses: e.g., interactions change across demand regimes; an interaction-aware policy adapts faster and improves constrained utility versus fixed weights and state-only adaptive weights.</w:t>
      </w:r>
    </w:p>
    <w:p>
      <w:pPr>
        <w:pStyle w:val="ListBullet"/>
        <w:spacing w:after="40"/>
      </w:pPr>
      <w:r>
        <w:t>Run controlled interventions: increase one demand movement, reduce a lane capacity, inject a short disturbance, or alter route split while holding other factors fixed; measure objective response and lag.</w:t>
      </w:r>
    </w:p>
    <w:p>
      <w:pPr>
        <w:pStyle w:val="ListBullet"/>
        <w:spacing w:after="40"/>
      </w:pPr>
      <w:r>
        <w:t>Compare interaction estimators: static Pearson; rolling Pearson; lagged correlation; partial correlation/residual dependence; learned interaction graph; intervention-based response matrix.</w:t>
      </w:r>
    </w:p>
    <w:p>
      <w:pPr>
        <w:pStyle w:val="ListBullet"/>
        <w:spacing w:after="40"/>
      </w:pPr>
      <w:r>
        <w:t>Quantify uncertainty with bootstrap confidence intervals across episodes/seeds and time blocks. Report correlation stability, estimator calibration and detection delay after regime shifts.</w:t>
      </w:r>
    </w:p>
    <w:p>
      <w:pPr>
        <w:pStyle w:val="ListBullet"/>
        <w:spacing w:after="40"/>
      </w:pPr>
      <w:r>
        <w:t>Distinguish descriptive association from causal effects. Use “intervention response” only for controlled simulator manipulations with stated assumptions; do not imply real-world causality.</w:t>
      </w:r>
    </w:p>
    <w:p>
      <w:pPr>
        <w:pStyle w:val="ListBullet"/>
        <w:spacing w:after="40"/>
      </w:pPr>
      <w:r>
        <w:t>Use permutation/shuffle tests and ablations to test whether temporal ordering and interaction information add value beyond marginal objective levels.</w:t>
      </w:r>
    </w:p>
    <w:p>
      <w:r>
        <w:rPr>
          <w:b/>
        </w:rPr>
        <w:t>Phase outputs:</w:t>
      </w:r>
      <w:r>
        <w:t xml:space="preserve"> interaction-estimator benchmark, intervention dataset, uncertainty analysis, novelty evidence matrix.</w:t>
      </w:r>
    </w:p>
    <w:p>
      <w:r>
        <w:rPr>
          <w:b/>
        </w:rPr>
        <w:t>Exit criterion:</w:t>
      </w:r>
      <w:r>
        <w:t xml:space="preserve"> interaction features improve held-out prediction/control metrics beyond simple baselines and the effect survives shuffle/ablation tests.</w:t>
      </w:r>
    </w:p>
    <w:p>
      <w:pPr>
        <w:pStyle w:val="Heading2"/>
      </w:pPr>
      <w:r>
        <w:t>Phase 4 — Robust and safety-aware control (Weeks 8–10)</w:t>
      </w:r>
    </w:p>
    <w:p>
      <w:r>
        <w:t>Goal: establish reliability under distribution shift and constraints.</w:t>
      </w:r>
    </w:p>
    <w:p>
      <w:pPr>
        <w:pStyle w:val="ListBullet"/>
        <w:spacing w:after="40"/>
      </w:pPr>
      <w:r>
        <w:t>Introduce constrained PPO or a primal-dual Lagrangian controller for explicit constraints (e.g., collision/conflict surrogate threshold, max pedestrian wait if included, max approach wait, legal signal timing).</w:t>
      </w:r>
    </w:p>
    <w:p>
      <w:pPr>
        <w:pStyle w:val="ListBullet"/>
        <w:spacing w:after="40"/>
      </w:pPr>
      <w:r>
        <w:t>Implement action shielding that rejects unsafe phase transitions; log shield interventions and performance cost.</w:t>
      </w:r>
    </w:p>
    <w:p>
      <w:pPr>
        <w:pStyle w:val="ListBullet"/>
        <w:spacing w:after="40"/>
      </w:pPr>
      <w:r>
        <w:t>Train across randomized demand levels, turning ratios, route seeds, traffic composition and incident-like perturbations. Keep a held-out scenario family untouched until final evaluation.</w:t>
      </w:r>
    </w:p>
    <w:p>
      <w:pPr>
        <w:pStyle w:val="ListBullet"/>
        <w:spacing w:after="40"/>
      </w:pPr>
      <w:r>
        <w:t>Evaluate shift adaptation: performance before/after shift, recovery time, weight adaptation latency, oscillation, and worst-case metric degradation.</w:t>
      </w:r>
    </w:p>
    <w:p>
      <w:pPr>
        <w:pStyle w:val="ListBullet"/>
        <w:spacing w:after="40"/>
      </w:pPr>
      <w:r>
        <w:t>Add robustness tests: sensor noise, missing detector readings, delayed observations, topology perturbation and unseen demand patterns.</w:t>
      </w:r>
    </w:p>
    <w:p>
      <w:pPr>
        <w:pStyle w:val="ListBullet"/>
        <w:spacing w:after="40"/>
      </w:pPr>
      <w:r>
        <w:t>Assess scalability on larger grids and uneven topologies; report inference latency, memory, communication (if distributed), and simulation throughput.</w:t>
      </w:r>
    </w:p>
    <w:p>
      <w:r>
        <w:rPr>
          <w:b/>
        </w:rPr>
        <w:t>Phase outputs:</w:t>
      </w:r>
      <w:r>
        <w:t xml:space="preserve"> constrained controller, scenario randomizer, robustness suite, shift-response figures, runtime profile.</w:t>
      </w:r>
    </w:p>
    <w:p>
      <w:r>
        <w:rPr>
          <w:b/>
        </w:rPr>
        <w:t>Exit criterion:</w:t>
      </w:r>
      <w:r>
        <w:t xml:space="preserve"> no safety-rule violations; robustness improvement is statistically supported and not purchased by unacceptable degradation in another metric.</w:t>
      </w:r>
    </w:p>
    <w:p>
      <w:pPr>
        <w:pStyle w:val="Heading2"/>
      </w:pPr>
      <w:r>
        <w:t>Phase 5 — Comparative evaluation and ablations (Weeks 10–12)</w:t>
      </w:r>
    </w:p>
    <w:p>
      <w:r>
        <w:t>Goal: establish which mechanism drives each improvement.</w:t>
      </w:r>
    </w:p>
    <w:p>
      <w:pPr>
        <w:pStyle w:val="ListBullet"/>
        <w:spacing w:after="40"/>
      </w:pPr>
      <w:r>
        <w:t>Baselines: fixed-time Webster/actuated where supported; max-pressure; fixed-weight PPO; state-only adaptive weighting; PPO with GCN-GRU but no DOIM; DOIM without interaction matrix; DOIM with static matrix; full DOIM; at least one credible modern MARL/graph baseline if multi-agent claims are made.</w:t>
      </w:r>
    </w:p>
    <w:p>
      <w:pPr>
        <w:pStyle w:val="ListBullet"/>
        <w:spacing w:after="40"/>
      </w:pPr>
      <w:r>
        <w:t>Ablations: remove spatial GNN; remove GRU; remove interaction encoder; replace learned weights with uniform/fixed; shuffle interaction matrix; remove fairness; disable safety shield; compare joint vs alternating training.</w:t>
      </w:r>
    </w:p>
    <w:p>
      <w:pPr>
        <w:pStyle w:val="ListBullet"/>
        <w:spacing w:after="40"/>
      </w:pPr>
      <w:r>
        <w:t>Use matched training budgets, tuning budgets and environment seeds; report all tuned hyperparameters and model selection procedure.</w:t>
      </w:r>
    </w:p>
    <w:p>
      <w:pPr>
        <w:pStyle w:val="ListBullet"/>
        <w:spacing w:after="40"/>
      </w:pPr>
      <w:r>
        <w:t>Use at least 10 independent training seeds as a practical starting point, with paired evaluation scenario/demand seeds; determine final sample size by power analysis or precision target.</w:t>
      </w:r>
    </w:p>
    <w:p>
      <w:pPr>
        <w:pStyle w:val="ListBullet"/>
        <w:spacing w:after="40"/>
      </w:pPr>
      <w:r>
        <w:t>Report mean ± standard deviation and 95% confidence intervals; paired bootstrap or appropriate mixed-effects tests; effect sizes and corrected multiple comparisons. Avoid significance-only claims.</w:t>
      </w:r>
    </w:p>
    <w:p>
      <w:pPr>
        <w:pStyle w:val="ListBullet"/>
        <w:spacing w:after="40"/>
      </w:pPr>
      <w:r>
        <w:t>Use Pareto fronts and hypervolume/epsilon indicators for multi-objective outcomes; also show per-objective metrics so scalar reward cannot hide regressions.</w:t>
      </w:r>
    </w:p>
    <w:p>
      <w:pPr>
        <w:pStyle w:val="ListBullet"/>
        <w:spacing w:after="40"/>
      </w:pPr>
      <w:r>
        <w:t>Report compute budget, wall-clock training, simulation steps per second, inference latency and model size.</w:t>
      </w:r>
    </w:p>
    <w:p>
      <w:r>
        <w:rPr>
          <w:b/>
        </w:rPr>
        <w:t>Phase outputs:</w:t>
      </w:r>
      <w:r>
        <w:t xml:space="preserve"> baseline/ablation tables, Pareto plots, statistical analysis notebook, complete experiment artifacts.</w:t>
      </w:r>
    </w:p>
    <w:p>
      <w:r>
        <w:rPr>
          <w:b/>
        </w:rPr>
        <w:t>Exit criterion:</w:t>
      </w:r>
      <w:r>
        <w:t xml:space="preserve"> performance gain is repeatable, statistically credible, method-specific, and accompanied by transparent trade-off reporting.</w:t>
      </w:r>
    </w:p>
    <w:p>
      <w:pPr>
        <w:pStyle w:val="Heading2"/>
      </w:pPr>
      <w:r>
        <w:t>Phase 6 — Paper construction and release (Weeks 12–14)</w:t>
      </w:r>
    </w:p>
    <w:p>
      <w:r>
        <w:t>Goal: turn evidence into a transparent IEEE submission package.</w:t>
      </w:r>
    </w:p>
    <w:p>
      <w:pPr>
        <w:pStyle w:val="ListBullet"/>
        <w:spacing w:after="40"/>
      </w:pPr>
      <w:r>
        <w:t>Complete a systematic related-work matrix covering multi-objective RL, adaptive scalarization, preference-conditioned RL, graph traffic control, fairness, constrained/safe RL, nonstationary/robust RL and objective-interaction modelling.</w:t>
      </w:r>
    </w:p>
    <w:p>
      <w:pPr>
        <w:pStyle w:val="ListBullet"/>
        <w:spacing w:after="40"/>
      </w:pPr>
      <w:r>
        <w:t>Write contributions only after final experiments. For every contribution, cite the mechanism and point to one decisive ablation/table/figure.</w:t>
      </w:r>
    </w:p>
    <w:p>
      <w:pPr>
        <w:pStyle w:val="ListBullet"/>
        <w:spacing w:after="40"/>
      </w:pPr>
      <w:r>
        <w:t>Prepare reproducibility package: source commit, configs, environment setup, dependency lockfile, seeds, raw results, analysis scripts, trained checkpoints where licensing permits, and exact run commands.</w:t>
      </w:r>
    </w:p>
    <w:p>
      <w:pPr>
        <w:pStyle w:val="ListBullet"/>
        <w:spacing w:after="40"/>
      </w:pPr>
      <w:r>
        <w:t>Add limitations: simulator realism, detector assumptions, emission calibration, single-city/network scope, demand generation bias and transfer-to-field caveats.</w:t>
      </w:r>
    </w:p>
    <w:p>
      <w:pPr>
        <w:pStyle w:val="ListBullet"/>
        <w:spacing w:after="40"/>
      </w:pPr>
      <w:r>
        <w:t>Perform internal red-team review: try to falsify novelty, identify metric gaming, inspect all plots/tables, and reproduce the headline result from a clean checkout.</w:t>
      </w:r>
    </w:p>
    <w:p>
      <w:r>
        <w:rPr>
          <w:b/>
        </w:rPr>
        <w:t>Phase outputs:</w:t>
      </w:r>
      <w:r>
        <w:t xml:space="preserve"> IEEE manuscript draft, artifact package, limitations statement, claim-evidence ledger, final reproducibility checklist.</w:t>
      </w:r>
    </w:p>
    <w:p>
      <w:r>
        <w:rPr>
          <w:b/>
        </w:rPr>
        <w:t>Exit criterion:</w:t>
      </w:r>
      <w:r>
        <w:t xml:space="preserve"> every abstract claim has traceable evidence and all tables/figures regenerate from released data.</w:t>
      </w:r>
    </w:p>
    <w:p>
      <w:pPr>
        <w:pStyle w:val="Heading1"/>
      </w:pPr>
      <w:r>
        <w:t>6. Proposed DOIM-v2 method specification</w:t>
      </w:r>
    </w:p>
    <w:p>
      <w:r>
        <w:t>The following is a candidate method to implement and test, not a description of the current code.</w:t>
      </w:r>
    </w:p>
    <w:p>
      <w:pPr>
        <w:pStyle w:val="Heading2"/>
      </w:pPr>
      <w:r>
        <w:t>6.1 Inputs and interaction state</w:t>
      </w:r>
    </w:p>
    <w:p>
      <w:r>
        <w:t>At time t, form a network representation h_t from graph-structured intersection features and a temporal encoder over the recent history. Let z_t be the normalized objective vector and d_t represent observable demand/context features. Estimate an interaction state M_t from a finite history of z and d, with uncertainty U_t. The estimator should model temporal ordering and remove common demand trends where possible.</w:t>
      </w:r>
    </w:p>
    <w:p>
      <w:pPr>
        <w:pStyle w:val="Heading2"/>
      </w:pPr>
      <w:r>
        <w:t>6.2 DOIM representation and preference output</w:t>
      </w:r>
    </w:p>
    <w:p>
      <w:r>
        <w:t>A candidate formulation is:</w:t>
      </w:r>
    </w:p>
    <w:p>
      <w:pPr>
        <w:jc w:val="center"/>
      </w:pPr>
      <w:r>
        <w:rPr>
          <w:b/>
          <w:sz w:val="22"/>
        </w:rPr>
        <w:t>m_t = f_θ(h_t, z_t, vec(M_t), U_t, d_t)</w:t>
      </w:r>
    </w:p>
    <w:p>
      <w:pPr>
        <w:jc w:val="center"/>
      </w:pPr>
      <w:r>
        <w:rPr>
          <w:b/>
          <w:sz w:val="22"/>
        </w:rPr>
        <w:t>w_t = softmax(g_φ(m_t) / τ),   w_t ∈ Δ⁴</w:t>
      </w:r>
    </w:p>
    <w:p>
      <w:r>
        <w:t>Here Δ⁴ is the five-objective probability simplex and τ is a temperature. Consider a smoothness term ||w_t − w_(t−1)||² plus a regime-change gate. The scalarized reward can remain as a training signal for unconstrained objectives, but safety and selected fairness constraints should be handled separately using a constrained RL mechanism or a verified action shield.</w:t>
      </w:r>
    </w:p>
    <w:p>
      <w:pPr>
        <w:pStyle w:val="Heading2"/>
      </w:pPr>
      <w:r>
        <w:t>6.3 Interaction learning objective</w:t>
      </w:r>
    </w:p>
    <w:p>
      <w:r>
        <w:t>Potential auxiliary objective: predict the next-window change in each objective under the observed action/context, with a multi-horizon loss. Add sparse/low-rank regularization to interaction edges and uncertainty calibration. A more ambitious intervention-response model may be tested, but should be described as simulator intervention sensitivity unless identification assumptions are justified. Compare against simple rolling correlation and state-only preference adaptation.</w:t>
      </w:r>
    </w:p>
    <w:p>
      <w:pPr>
        <w:pStyle w:val="Heading2"/>
      </w:pPr>
      <w:r>
        <w:t>6.4 Training integration options</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2464"/>
            <w:vAlign w:val="center"/>
            <w:shd w:fill="17365D"/>
          </w:tcPr>
          <w:p>
            <w:pPr>
              <w:spacing w:after="40"/>
            </w:pPr>
            <w:r/>
            <w:r>
              <w:rPr>
                <w:b/>
                <w:color w:val="FFFFFF"/>
                <w:sz w:val="17"/>
              </w:rPr>
              <w:t>Design</w:t>
            </w:r>
          </w:p>
        </w:tc>
        <w:tc>
          <w:tcPr>
            <w:tcW w:type="dxa" w:w="2464"/>
            <w:vAlign w:val="center"/>
            <w:shd w:fill="17365D"/>
          </w:tcPr>
          <w:p>
            <w:pPr>
              <w:spacing w:after="40"/>
            </w:pPr>
            <w:r/>
            <w:r>
              <w:rPr>
                <w:b/>
                <w:color w:val="FFFFFF"/>
                <w:sz w:val="17"/>
              </w:rPr>
              <w:t>How to train</w:t>
            </w:r>
          </w:p>
        </w:tc>
        <w:tc>
          <w:tcPr>
            <w:tcW w:type="dxa" w:w="2464"/>
            <w:vAlign w:val="center"/>
            <w:shd w:fill="17365D"/>
          </w:tcPr>
          <w:p>
            <w:pPr>
              <w:spacing w:after="40"/>
            </w:pPr>
            <w:r/>
            <w:r>
              <w:rPr>
                <w:b/>
                <w:color w:val="FFFFFF"/>
                <w:sz w:val="17"/>
              </w:rPr>
              <w:t>Advantages</w:t>
            </w:r>
          </w:p>
        </w:tc>
        <w:tc>
          <w:tcPr>
            <w:tcW w:type="dxa" w:w="2464"/>
            <w:vAlign w:val="center"/>
            <w:shd w:fill="17365D"/>
          </w:tcPr>
          <w:p>
            <w:pPr>
              <w:spacing w:after="40"/>
            </w:pPr>
            <w:r/>
            <w:r>
              <w:rPr>
                <w:b/>
                <w:color w:val="FFFFFF"/>
                <w:sz w:val="17"/>
              </w:rPr>
              <w:t>Risks / controls</w:t>
            </w:r>
          </w:p>
        </w:tc>
      </w:tr>
      <w:tr>
        <w:tc>
          <w:tcPr>
            <w:tcW w:type="dxa" w:w="2464"/>
            <w:vAlign w:val="center"/>
          </w:tcPr>
          <w:p>
            <w:pPr>
              <w:spacing w:after="40"/>
            </w:pPr>
            <w:r/>
            <w:r>
              <w:rPr>
                <w:b w:val="0"/>
                <w:sz w:val="16"/>
              </w:rPr>
              <w:t>Joint PPO</w:t>
            </w:r>
          </w:p>
        </w:tc>
        <w:tc>
          <w:tcPr>
            <w:tcW w:type="dxa" w:w="2464"/>
            <w:vAlign w:val="center"/>
          </w:tcPr>
          <w:p>
            <w:pPr>
              <w:spacing w:after="40"/>
            </w:pPr>
            <w:r/>
            <w:r>
              <w:rPr>
                <w:b w:val="0"/>
                <w:sz w:val="16"/>
              </w:rPr>
              <w:t>Compute actor/critic losses over trajectories; include DOIM in actor observation/reward pathway; optimizer updates DOIM + policy.</w:t>
            </w:r>
          </w:p>
        </w:tc>
        <w:tc>
          <w:tcPr>
            <w:tcW w:type="dxa" w:w="2464"/>
            <w:vAlign w:val="center"/>
          </w:tcPr>
          <w:p>
            <w:pPr>
              <w:spacing w:after="40"/>
            </w:pPr>
            <w:r/>
            <w:r>
              <w:rPr>
                <w:b w:val="0"/>
                <w:sz w:val="16"/>
              </w:rPr>
              <w:t>Direct policy coupling; simplest evidence that learned preference impacts control.</w:t>
            </w:r>
          </w:p>
        </w:tc>
        <w:tc>
          <w:tcPr>
            <w:tcW w:type="dxa" w:w="2464"/>
            <w:vAlign w:val="center"/>
          </w:tcPr>
          <w:p>
            <w:pPr>
              <w:spacing w:after="40"/>
            </w:pPr>
            <w:r/>
            <w:r>
              <w:rPr>
                <w:b w:val="0"/>
                <w:sz w:val="16"/>
              </w:rPr>
              <w:t>Nonstationary reward can destabilize PPO; use clipping, target normalization, preference entropy/smoothness and gradient monitoring.</w:t>
            </w:r>
          </w:p>
        </w:tc>
      </w:tr>
      <w:tr>
        <w:tc>
          <w:tcPr>
            <w:tcW w:type="dxa" w:w="2464"/>
            <w:vAlign w:val="center"/>
            <w:shd w:fill="F1F5F9"/>
          </w:tcPr>
          <w:p>
            <w:pPr>
              <w:spacing w:after="40"/>
            </w:pPr>
            <w:r/>
            <w:r>
              <w:rPr>
                <w:b w:val="0"/>
                <w:sz w:val="16"/>
              </w:rPr>
              <w:t>Alternating PPO + auxiliary DOIM</w:t>
            </w:r>
          </w:p>
        </w:tc>
        <w:tc>
          <w:tcPr>
            <w:tcW w:type="dxa" w:w="2464"/>
            <w:vAlign w:val="center"/>
            <w:shd w:fill="F1F5F9"/>
          </w:tcPr>
          <w:p>
            <w:pPr>
              <w:spacing w:after="40"/>
            </w:pPr>
            <w:r/>
            <w:r>
              <w:rPr>
                <w:b w:val="0"/>
                <w:sz w:val="16"/>
              </w:rPr>
              <w:t>Train policy for K updates, then train DOIM on held-out trajectory windows with predictive/utility loss; alternate.</w:t>
            </w:r>
          </w:p>
        </w:tc>
        <w:tc>
          <w:tcPr>
            <w:tcW w:type="dxa" w:w="2464"/>
            <w:vAlign w:val="center"/>
            <w:shd w:fill="F1F5F9"/>
          </w:tcPr>
          <w:p>
            <w:pPr>
              <w:spacing w:after="40"/>
            </w:pPr>
            <w:r/>
            <w:r>
              <w:rPr>
                <w:b w:val="0"/>
                <w:sz w:val="16"/>
              </w:rPr>
              <w:t>May stabilize representation learning and isolate temporal prediction quality.</w:t>
            </w:r>
          </w:p>
        </w:tc>
        <w:tc>
          <w:tcPr>
            <w:tcW w:type="dxa" w:w="2464"/>
            <w:vAlign w:val="center"/>
            <w:shd w:fill="F1F5F9"/>
          </w:tcPr>
          <w:p>
            <w:pPr>
              <w:spacing w:after="40"/>
            </w:pPr>
            <w:r/>
            <w:r>
              <w:rPr>
                <w:b w:val="0"/>
                <w:sz w:val="16"/>
              </w:rPr>
              <w:t>Auxiliary prediction may not translate to control; test policy return and ablate auxiliary loss.</w:t>
            </w:r>
          </w:p>
        </w:tc>
      </w:tr>
      <w:tr>
        <w:tc>
          <w:tcPr>
            <w:tcW w:type="dxa" w:w="2464"/>
            <w:vAlign w:val="center"/>
          </w:tcPr>
          <w:p>
            <w:pPr>
              <w:spacing w:after="40"/>
            </w:pPr>
            <w:r/>
            <w:r>
              <w:rPr>
                <w:b w:val="0"/>
                <w:sz w:val="16"/>
              </w:rPr>
              <w:t>Preference-conditioned MORL</w:t>
            </w:r>
          </w:p>
        </w:tc>
        <w:tc>
          <w:tcPr>
            <w:tcW w:type="dxa" w:w="2464"/>
            <w:vAlign w:val="center"/>
          </w:tcPr>
          <w:p>
            <w:pPr>
              <w:spacing w:after="40"/>
            </w:pPr>
            <w:r/>
            <w:r>
              <w:rPr>
                <w:b w:val="0"/>
                <w:sz w:val="16"/>
              </w:rPr>
              <w:t>Condition policy on a preference vector; train across sampled preferences; DOIM selects preference from context.</w:t>
            </w:r>
          </w:p>
        </w:tc>
        <w:tc>
          <w:tcPr>
            <w:tcW w:type="dxa" w:w="2464"/>
            <w:vAlign w:val="center"/>
          </w:tcPr>
          <w:p>
            <w:pPr>
              <w:spacing w:after="40"/>
            </w:pPr>
            <w:r/>
            <w:r>
              <w:rPr>
                <w:b w:val="0"/>
                <w:sz w:val="16"/>
              </w:rPr>
              <w:t>Enables a richer Pareto set and controllable preferences.</w:t>
            </w:r>
          </w:p>
        </w:tc>
        <w:tc>
          <w:tcPr>
            <w:tcW w:type="dxa" w:w="2464"/>
            <w:vAlign w:val="center"/>
          </w:tcPr>
          <w:p>
            <w:pPr>
              <w:spacing w:after="40"/>
            </w:pPr>
            <w:r/>
            <w:r>
              <w:rPr>
                <w:b w:val="0"/>
                <w:sz w:val="16"/>
              </w:rPr>
              <w:t>Greater complexity; must compare to preference-conditioned baselines and avoid claiming a single universal optimum.</w:t>
            </w:r>
          </w:p>
        </w:tc>
      </w:tr>
    </w:tbl>
    <w:p>
      <w:pPr>
        <w:spacing w:after="0"/>
      </w:pPr>
    </w:p>
    <w:p>
      <w:r>
        <w:t>Recommendation: begin with joint PPO and explicit gradient-flow tests. Add preference-conditioned MORL only if the paper’s scientific question requires maintaining a controllable Pareto policy family.</w:t>
      </w:r>
    </w:p>
    <w:p>
      <w:pPr>
        <w:pStyle w:val="Heading1"/>
      </w:pPr>
      <w:r>
        <w:t>7. Experimental design: minimum credible evidence package</w:t>
      </w:r>
    </w:p>
    <w:tbl>
      <w:tblPr>
        <w:tblStyle w:val="TableGrid"/>
        <w:tblW w:type="auto" w:w="0"/>
        <w:jc w:val="center"/>
        <w:tblLook w:firstColumn="1" w:firstRow="1" w:lastColumn="0" w:lastRow="0" w:noHBand="0" w:noVBand="1" w:val="04A0"/>
      </w:tblPr>
      <w:tblGrid>
        <w:gridCol w:w="3286"/>
        <w:gridCol w:w="3286"/>
        <w:gridCol w:w="3286"/>
      </w:tblGrid>
      <w:tr>
        <w:tc>
          <w:tcPr>
            <w:tcW w:type="dxa" w:w="3286"/>
            <w:vAlign w:val="center"/>
            <w:shd w:fill="17365D"/>
          </w:tcPr>
          <w:p>
            <w:pPr>
              <w:spacing w:after="40"/>
            </w:pPr>
            <w:r/>
            <w:r>
              <w:rPr>
                <w:b/>
                <w:color w:val="FFFFFF"/>
                <w:sz w:val="17"/>
              </w:rPr>
              <w:t>Dimension</w:t>
            </w:r>
          </w:p>
        </w:tc>
        <w:tc>
          <w:tcPr>
            <w:tcW w:type="dxa" w:w="3286"/>
            <w:vAlign w:val="center"/>
            <w:shd w:fill="17365D"/>
          </w:tcPr>
          <w:p>
            <w:pPr>
              <w:spacing w:after="40"/>
            </w:pPr>
            <w:r/>
            <w:r>
              <w:rPr>
                <w:b/>
                <w:color w:val="FFFFFF"/>
                <w:sz w:val="17"/>
              </w:rPr>
              <w:t>Minimum design</w:t>
            </w:r>
          </w:p>
        </w:tc>
        <w:tc>
          <w:tcPr>
            <w:tcW w:type="dxa" w:w="3286"/>
            <w:vAlign w:val="center"/>
            <w:shd w:fill="17365D"/>
          </w:tcPr>
          <w:p>
            <w:pPr>
              <w:spacing w:after="40"/>
            </w:pPr>
            <w:r/>
            <w:r>
              <w:rPr>
                <w:b/>
                <w:color w:val="FFFFFF"/>
                <w:sz w:val="17"/>
              </w:rPr>
              <w:t>Reported output</w:t>
            </w:r>
          </w:p>
        </w:tc>
      </w:tr>
      <w:tr>
        <w:tc>
          <w:tcPr>
            <w:tcW w:type="dxa" w:w="3286"/>
            <w:vAlign w:val="center"/>
          </w:tcPr>
          <w:p>
            <w:pPr>
              <w:spacing w:after="40"/>
            </w:pPr>
            <w:r/>
            <w:r>
              <w:rPr>
                <w:b w:val="0"/>
                <w:sz w:val="16"/>
              </w:rPr>
              <w:t>Networks</w:t>
            </w:r>
          </w:p>
        </w:tc>
        <w:tc>
          <w:tcPr>
            <w:tcW w:type="dxa" w:w="3286"/>
            <w:vAlign w:val="center"/>
          </w:tcPr>
          <w:p>
            <w:pPr>
              <w:spacing w:after="40"/>
            </w:pPr>
            <w:r/>
            <w:r>
              <w:rPr>
                <w:b w:val="0"/>
                <w:sz w:val="16"/>
              </w:rPr>
              <w:t>Current 3×3; one additional larger or irregular topology; map graph from network assets.</w:t>
            </w:r>
          </w:p>
        </w:tc>
        <w:tc>
          <w:tcPr>
            <w:tcW w:type="dxa" w:w="3286"/>
            <w:vAlign w:val="center"/>
          </w:tcPr>
          <w:p>
            <w:pPr>
              <w:spacing w:after="40"/>
            </w:pPr>
            <w:r/>
            <w:r>
              <w:rPr>
                <w:b w:val="0"/>
                <w:sz w:val="16"/>
              </w:rPr>
              <w:t>Scalability, topology transfer and per-network outcomes.</w:t>
            </w:r>
          </w:p>
        </w:tc>
      </w:tr>
      <w:tr>
        <w:tc>
          <w:tcPr>
            <w:tcW w:type="dxa" w:w="3286"/>
            <w:vAlign w:val="center"/>
            <w:shd w:fill="F1F5F9"/>
          </w:tcPr>
          <w:p>
            <w:pPr>
              <w:spacing w:after="40"/>
            </w:pPr>
            <w:r/>
            <w:r>
              <w:rPr>
                <w:b w:val="0"/>
                <w:sz w:val="16"/>
              </w:rPr>
              <w:t>Demand regimes</w:t>
            </w:r>
          </w:p>
        </w:tc>
        <w:tc>
          <w:tcPr>
            <w:tcW w:type="dxa" w:w="3286"/>
            <w:vAlign w:val="center"/>
            <w:shd w:fill="F1F5F9"/>
          </w:tcPr>
          <w:p>
            <w:pPr>
              <w:spacing w:after="40"/>
            </w:pPr>
            <w:r/>
            <w:r>
              <w:rPr>
                <w:b w:val="0"/>
                <w:sz w:val="16"/>
              </w:rPr>
              <w:t>Normal, rush hour, directional surge, low demand, imbalanced turn ratios, incident/capacity reduction, unseen held-out demand.</w:t>
            </w:r>
          </w:p>
        </w:tc>
        <w:tc>
          <w:tcPr>
            <w:tcW w:type="dxa" w:w="3286"/>
            <w:vAlign w:val="center"/>
            <w:shd w:fill="F1F5F9"/>
          </w:tcPr>
          <w:p>
            <w:pPr>
              <w:spacing w:after="40"/>
            </w:pPr>
            <w:r/>
            <w:r>
              <w:rPr>
                <w:b w:val="0"/>
                <w:sz w:val="16"/>
              </w:rPr>
              <w:t>Per-regime metrics and adaptation/recovery plots.</w:t>
            </w:r>
          </w:p>
        </w:tc>
      </w:tr>
      <w:tr>
        <w:tc>
          <w:tcPr>
            <w:tcW w:type="dxa" w:w="3286"/>
            <w:vAlign w:val="center"/>
          </w:tcPr>
          <w:p>
            <w:pPr>
              <w:spacing w:after="40"/>
            </w:pPr>
            <w:r/>
            <w:r>
              <w:rPr>
                <w:b w:val="0"/>
                <w:sz w:val="16"/>
              </w:rPr>
              <w:t>Training seeds</w:t>
            </w:r>
          </w:p>
        </w:tc>
        <w:tc>
          <w:tcPr>
            <w:tcW w:type="dxa" w:w="3286"/>
            <w:vAlign w:val="center"/>
          </w:tcPr>
          <w:p>
            <w:pPr>
              <w:spacing w:after="40"/>
            </w:pPr>
            <w:r/>
            <w:r>
              <w:rPr>
                <w:b w:val="0"/>
                <w:sz w:val="16"/>
              </w:rPr>
              <w:t>Start with ≥10 independent training seeds; use power/precision analysis to set final number.</w:t>
            </w:r>
          </w:p>
        </w:tc>
        <w:tc>
          <w:tcPr>
            <w:tcW w:type="dxa" w:w="3286"/>
            <w:vAlign w:val="center"/>
          </w:tcPr>
          <w:p>
            <w:pPr>
              <w:spacing w:after="40"/>
            </w:pPr>
            <w:r/>
            <w:r>
              <w:rPr>
                <w:b w:val="0"/>
                <w:sz w:val="16"/>
              </w:rPr>
              <w:t>Seed-wise data, mean/SD, 95% CI.</w:t>
            </w:r>
          </w:p>
        </w:tc>
      </w:tr>
      <w:tr>
        <w:tc>
          <w:tcPr>
            <w:tcW w:type="dxa" w:w="3286"/>
            <w:vAlign w:val="center"/>
            <w:shd w:fill="F1F5F9"/>
          </w:tcPr>
          <w:p>
            <w:pPr>
              <w:spacing w:after="40"/>
            </w:pPr>
            <w:r/>
            <w:r>
              <w:rPr>
                <w:b w:val="0"/>
                <w:sz w:val="16"/>
              </w:rPr>
              <w:t>Evaluation episodes</w:t>
            </w:r>
          </w:p>
        </w:tc>
        <w:tc>
          <w:tcPr>
            <w:tcW w:type="dxa" w:w="3286"/>
            <w:vAlign w:val="center"/>
            <w:shd w:fill="F1F5F9"/>
          </w:tcPr>
          <w:p>
            <w:pPr>
              <w:spacing w:after="40"/>
            </w:pPr>
            <w:r/>
            <w:r>
              <w:rPr>
                <w:b w:val="0"/>
                <w:sz w:val="16"/>
              </w:rPr>
              <w:t>Multiple paired episode/demand seeds per trained model; independently reset SUMO state.</w:t>
            </w:r>
          </w:p>
        </w:tc>
        <w:tc>
          <w:tcPr>
            <w:tcW w:type="dxa" w:w="3286"/>
            <w:vAlign w:val="center"/>
            <w:shd w:fill="F1F5F9"/>
          </w:tcPr>
          <w:p>
            <w:pPr>
              <w:spacing w:after="40"/>
            </w:pPr>
            <w:r/>
            <w:r>
              <w:rPr>
                <w:b w:val="0"/>
                <w:sz w:val="16"/>
              </w:rPr>
              <w:t>Paired comparisons and episode-level distributions.</w:t>
            </w:r>
          </w:p>
        </w:tc>
      </w:tr>
      <w:tr>
        <w:tc>
          <w:tcPr>
            <w:tcW w:type="dxa" w:w="3286"/>
            <w:vAlign w:val="center"/>
          </w:tcPr>
          <w:p>
            <w:pPr>
              <w:spacing w:after="40"/>
            </w:pPr>
            <w:r/>
            <w:r>
              <w:rPr>
                <w:b w:val="0"/>
                <w:sz w:val="16"/>
              </w:rPr>
              <w:t>Baselines</w:t>
            </w:r>
          </w:p>
        </w:tc>
        <w:tc>
          <w:tcPr>
            <w:tcW w:type="dxa" w:w="3286"/>
            <w:vAlign w:val="center"/>
          </w:tcPr>
          <w:p>
            <w:pPr>
              <w:spacing w:after="40"/>
            </w:pPr>
            <w:r/>
            <w:r>
              <w:rPr>
                <w:b w:val="0"/>
                <w:sz w:val="16"/>
              </w:rPr>
              <w:t>Fixed-time/actuated, max-pressure, fixed-weight PPO, state-adaptive PPO, GNN-GRU PPO, no-interaction DOIM, full DOIM; modern MARL if scope includes decentralized coordination.</w:t>
            </w:r>
          </w:p>
        </w:tc>
        <w:tc>
          <w:tcPr>
            <w:tcW w:type="dxa" w:w="3286"/>
            <w:vAlign w:val="center"/>
          </w:tcPr>
          <w:p>
            <w:pPr>
              <w:spacing w:after="40"/>
            </w:pPr>
            <w:r/>
            <w:r>
              <w:rPr>
                <w:b w:val="0"/>
                <w:sz w:val="16"/>
              </w:rPr>
              <w:t>Fair matched-budget table.</w:t>
            </w:r>
          </w:p>
        </w:tc>
      </w:tr>
      <w:tr>
        <w:tc>
          <w:tcPr>
            <w:tcW w:type="dxa" w:w="3286"/>
            <w:vAlign w:val="center"/>
            <w:shd w:fill="F1F5F9"/>
          </w:tcPr>
          <w:p>
            <w:pPr>
              <w:spacing w:after="40"/>
            </w:pPr>
            <w:r/>
            <w:r>
              <w:rPr>
                <w:b w:val="0"/>
                <w:sz w:val="16"/>
              </w:rPr>
              <w:t>Ablations</w:t>
            </w:r>
          </w:p>
        </w:tc>
        <w:tc>
          <w:tcPr>
            <w:tcW w:type="dxa" w:w="3286"/>
            <w:vAlign w:val="center"/>
            <w:shd w:fill="F1F5F9"/>
          </w:tcPr>
          <w:p>
            <w:pPr>
              <w:spacing w:after="40"/>
            </w:pPr>
            <w:r/>
            <w:r>
              <w:rPr>
                <w:b w:val="0"/>
                <w:sz w:val="16"/>
              </w:rPr>
              <w:t>GNN, GRU, interaction, adaptive head, auxiliary loss, fairness, constraints, interaction shuffling.</w:t>
            </w:r>
          </w:p>
        </w:tc>
        <w:tc>
          <w:tcPr>
            <w:tcW w:type="dxa" w:w="3286"/>
            <w:vAlign w:val="center"/>
            <w:shd w:fill="F1F5F9"/>
          </w:tcPr>
          <w:p>
            <w:pPr>
              <w:spacing w:after="40"/>
            </w:pPr>
            <w:r/>
            <w:r>
              <w:rPr>
                <w:b w:val="0"/>
                <w:sz w:val="16"/>
              </w:rPr>
              <w:t>Mechanism attribution.</w:t>
            </w:r>
          </w:p>
        </w:tc>
      </w:tr>
      <w:tr>
        <w:tc>
          <w:tcPr>
            <w:tcW w:type="dxa" w:w="3286"/>
            <w:vAlign w:val="center"/>
          </w:tcPr>
          <w:p>
            <w:pPr>
              <w:spacing w:after="40"/>
            </w:pPr>
            <w:r/>
            <w:r>
              <w:rPr>
                <w:b w:val="0"/>
                <w:sz w:val="16"/>
              </w:rPr>
              <w:t>Objectives</w:t>
            </w:r>
          </w:p>
        </w:tc>
        <w:tc>
          <w:tcPr>
            <w:tcW w:type="dxa" w:w="3286"/>
            <w:vAlign w:val="center"/>
          </w:tcPr>
          <w:p>
            <w:pPr>
              <w:spacing w:after="40"/>
            </w:pPr>
            <w:r/>
            <w:r>
              <w:rPr>
                <w:b w:val="0"/>
                <w:sz w:val="16"/>
              </w:rPr>
              <w:t>Mean and tail waiting/delay; queue; integrated CO₂; throughput; vehicle-level fairness; safety/conflict surrogate.</w:t>
            </w:r>
          </w:p>
        </w:tc>
        <w:tc>
          <w:tcPr>
            <w:tcW w:type="dxa" w:w="3286"/>
            <w:vAlign w:val="center"/>
          </w:tcPr>
          <w:p>
            <w:pPr>
              <w:spacing w:after="40"/>
            </w:pPr>
            <w:r/>
            <w:r>
              <w:rPr>
                <w:b w:val="0"/>
                <w:sz w:val="16"/>
              </w:rPr>
              <w:t>Pareto plots, hypervolume, per-metric tables.</w:t>
            </w:r>
          </w:p>
        </w:tc>
      </w:tr>
      <w:tr>
        <w:tc>
          <w:tcPr>
            <w:tcW w:type="dxa" w:w="3286"/>
            <w:vAlign w:val="center"/>
            <w:shd w:fill="F1F5F9"/>
          </w:tcPr>
          <w:p>
            <w:pPr>
              <w:spacing w:after="40"/>
            </w:pPr>
            <w:r/>
            <w:r>
              <w:rPr>
                <w:b w:val="0"/>
                <w:sz w:val="16"/>
              </w:rPr>
              <w:t>Robustness</w:t>
            </w:r>
          </w:p>
        </w:tc>
        <w:tc>
          <w:tcPr>
            <w:tcW w:type="dxa" w:w="3286"/>
            <w:vAlign w:val="center"/>
            <w:shd w:fill="F1F5F9"/>
          </w:tcPr>
          <w:p>
            <w:pPr>
              <w:spacing w:after="40"/>
            </w:pPr>
            <w:r/>
            <w:r>
              <w:rPr>
                <w:b w:val="0"/>
                <w:sz w:val="16"/>
              </w:rPr>
              <w:t>Noise, missing data, sensor latency, demand shift, route perturbation, topology shift.</w:t>
            </w:r>
          </w:p>
        </w:tc>
        <w:tc>
          <w:tcPr>
            <w:tcW w:type="dxa" w:w="3286"/>
            <w:vAlign w:val="center"/>
            <w:shd w:fill="F1F5F9"/>
          </w:tcPr>
          <w:p>
            <w:pPr>
              <w:spacing w:after="40"/>
            </w:pPr>
            <w:r/>
            <w:r>
              <w:rPr>
                <w:b w:val="0"/>
                <w:sz w:val="16"/>
              </w:rPr>
              <w:t>Worst-case and degradation/recovery statistics.</w:t>
            </w:r>
          </w:p>
        </w:tc>
      </w:tr>
      <w:tr>
        <w:tc>
          <w:tcPr>
            <w:tcW w:type="dxa" w:w="3286"/>
            <w:vAlign w:val="center"/>
          </w:tcPr>
          <w:p>
            <w:pPr>
              <w:spacing w:after="40"/>
            </w:pPr>
            <w:r/>
            <w:r>
              <w:rPr>
                <w:b w:val="0"/>
                <w:sz w:val="16"/>
              </w:rPr>
              <w:t>Efficiency</w:t>
            </w:r>
          </w:p>
        </w:tc>
        <w:tc>
          <w:tcPr>
            <w:tcW w:type="dxa" w:w="3286"/>
            <w:vAlign w:val="center"/>
          </w:tcPr>
          <w:p>
            <w:pPr>
              <w:spacing w:after="40"/>
            </w:pPr>
            <w:r/>
            <w:r>
              <w:rPr>
                <w:b w:val="0"/>
                <w:sz w:val="16"/>
              </w:rPr>
              <w:t>Training wall-clock, inference latency, simulation throughput, memory, model parameters.</w:t>
            </w:r>
          </w:p>
        </w:tc>
        <w:tc>
          <w:tcPr>
            <w:tcW w:type="dxa" w:w="3286"/>
            <w:vAlign w:val="center"/>
          </w:tcPr>
          <w:p>
            <w:pPr>
              <w:spacing w:after="40"/>
            </w:pPr>
            <w:r/>
            <w:r>
              <w:rPr>
                <w:b w:val="0"/>
                <w:sz w:val="16"/>
              </w:rPr>
              <w:t>Cost-effectiveness table.</w:t>
            </w:r>
          </w:p>
        </w:tc>
      </w:tr>
    </w:tbl>
    <w:p>
      <w:pPr>
        <w:spacing w:after="0"/>
      </w:pPr>
    </w:p>
    <w:p>
      <w:pPr>
        <w:pStyle w:val="Heading1"/>
      </w:pPr>
      <w:r>
        <w:t>8. Evidence, logging and artifact architecture</w:t>
      </w:r>
    </w:p>
    <w:p>
      <w:r>
        <w:t>Create a single experiment runner and never hand-edit summary values. Store one folder per run with config.yaml, manifest.json, model checkpoint, per-step metrics.csv, episode_summary.json, stdout/stderr log, and checksums. The analysis pipeline should aggregate only run folders whose manifest passes validation.</w:t>
      </w:r>
    </w:p>
    <w:p>
      <w:pPr>
        <w:pStyle w:val="ListBullet"/>
        <w:spacing w:after="40"/>
      </w:pPr>
      <w:r>
        <w:t>Per-step record: run_id, git_sha, algorithm, train_seed, eval_seed, scenario_id, demand_seed, episode_id, simulation_time, action per TLS, current phase, shield intervention, raw objective vector, normalized objective vector, interaction estimate, uncertainty, preference weights, reward, queue/wait/emissions counters, arrivals, collisions/conflicts and terminal status.</w:t>
      </w:r>
    </w:p>
    <w:p>
      <w:pPr>
        <w:pStyle w:val="ListBullet"/>
        <w:spacing w:after="40"/>
      </w:pPr>
      <w:r>
        <w:t>Per-episode record: total integrated emissions, vehicle-seconds delay, mean/p95/max delay, maximum queue, completed vehicles/hour, fairness metrics, constraint violations, reward, episode duration and runtime.</w:t>
      </w:r>
    </w:p>
    <w:p>
      <w:pPr>
        <w:pStyle w:val="ListBullet"/>
        <w:spacing w:after="40"/>
      </w:pPr>
      <w:r>
        <w:t>Run-level manifest: simulator/version, network checksum, route checksum, demand parameters, observation/action definitions, metric units, model architecture, hyperparameters, training timesteps, evaluation horizon and hardware/software.</w:t>
      </w:r>
    </w:p>
    <w:p>
      <w:pPr>
        <w:pStyle w:val="ListBullet"/>
        <w:spacing w:after="40"/>
      </w:pPr>
      <w:r>
        <w:t>Automated checks: unique run IDs; expected model/seed/scenario coverage; no duplicate checkpoint hashes when distinct training seeds are claimed; finite metrics; no missing episode rows; policy/model and result manifest checksum match.</w:t>
      </w:r>
    </w:p>
    <w:p>
      <w:pPr>
        <w:pStyle w:val="ListBullet"/>
        <w:spacing w:after="40"/>
      </w:pPr>
      <w:r>
        <w:t>Plots generated automatically: learning curves with confidence bands; scenario-wise objective distribution; Pareto front; weight dynamics around demand shifts; interaction matrix with uncertainty; recovery curve; safety interventions; runtime profile.</w:t>
      </w:r>
    </w:p>
    <w:p>
      <w:pPr>
        <w:pStyle w:val="Heading1"/>
      </w:pPr>
      <w:r>
        <w:t>9. Novelty and claim-evidence ledger</w:t>
      </w:r>
    </w:p>
    <w:p>
      <w:r>
        <w:t>Use this table to prevent unsupported novelty language. A claim becomes manuscript-ready only when both its literature distinction and its empirical test are complete.</w:t>
      </w:r>
    </w:p>
    <w:tbl>
      <w:tblPr>
        <w:tblStyle w:val="TableGrid"/>
        <w:tblW w:type="auto" w:w="0"/>
        <w:jc w:val="center"/>
        <w:tblLook w:firstColumn="1" w:firstRow="1" w:lastColumn="0" w:lastRow="0" w:noHBand="0" w:noVBand="1" w:val="04A0"/>
      </w:tblPr>
      <w:tblGrid>
        <w:gridCol w:w="3286"/>
        <w:gridCol w:w="3286"/>
        <w:gridCol w:w="3286"/>
      </w:tblGrid>
      <w:tr>
        <w:tc>
          <w:tcPr>
            <w:tcW w:type="dxa" w:w="3286"/>
            <w:vAlign w:val="center"/>
            <w:shd w:fill="17365D"/>
          </w:tcPr>
          <w:p>
            <w:pPr>
              <w:spacing w:after="40"/>
            </w:pPr>
            <w:r/>
            <w:r>
              <w:rPr>
                <w:b/>
                <w:color w:val="FFFFFF"/>
                <w:sz w:val="17"/>
              </w:rPr>
              <w:t>Candidate claim</w:t>
            </w:r>
          </w:p>
        </w:tc>
        <w:tc>
          <w:tcPr>
            <w:tcW w:type="dxa" w:w="3286"/>
            <w:vAlign w:val="center"/>
            <w:shd w:fill="17365D"/>
          </w:tcPr>
          <w:p>
            <w:pPr>
              <w:spacing w:after="40"/>
            </w:pPr>
            <w:r/>
            <w:r>
              <w:rPr>
                <w:b/>
                <w:color w:val="FFFFFF"/>
                <w:sz w:val="17"/>
              </w:rPr>
              <w:t>What must be different from prior work</w:t>
            </w:r>
          </w:p>
        </w:tc>
        <w:tc>
          <w:tcPr>
            <w:tcW w:type="dxa" w:w="3286"/>
            <w:vAlign w:val="center"/>
            <w:shd w:fill="17365D"/>
          </w:tcPr>
          <w:p>
            <w:pPr>
              <w:spacing w:after="40"/>
            </w:pPr>
            <w:r/>
            <w:r>
              <w:rPr>
                <w:b/>
                <w:color w:val="FFFFFF"/>
                <w:sz w:val="17"/>
              </w:rPr>
              <w:t>Evidence required before claiming</w:t>
            </w:r>
          </w:p>
        </w:tc>
      </w:tr>
      <w:tr>
        <w:tc>
          <w:tcPr>
            <w:tcW w:type="dxa" w:w="3286"/>
            <w:vAlign w:val="center"/>
          </w:tcPr>
          <w:p>
            <w:pPr>
              <w:spacing w:after="40"/>
            </w:pPr>
            <w:r/>
            <w:r>
              <w:rPr>
                <w:b w:val="0"/>
                <w:sz w:val="16"/>
              </w:rPr>
              <w:t>Dynamic objective-interaction manifold</w:t>
            </w:r>
          </w:p>
        </w:tc>
        <w:tc>
          <w:tcPr>
            <w:tcW w:type="dxa" w:w="3286"/>
            <w:vAlign w:val="center"/>
          </w:tcPr>
          <w:p>
            <w:pPr>
              <w:spacing w:after="40"/>
            </w:pPr>
            <w:r/>
            <w:r>
              <w:rPr>
                <w:b w:val="0"/>
                <w:sz w:val="16"/>
              </w:rPr>
              <w:t>Not merely a GNN/GRU plus correlation matrix plus softmax weights; define a distinct trainable interaction state and learning objective.</w:t>
            </w:r>
          </w:p>
        </w:tc>
        <w:tc>
          <w:tcPr>
            <w:tcW w:type="dxa" w:w="3286"/>
            <w:vAlign w:val="center"/>
          </w:tcPr>
          <w:p>
            <w:pPr>
              <w:spacing w:after="40"/>
            </w:pPr>
            <w:r/>
            <w:r>
              <w:rPr>
                <w:b w:val="0"/>
                <w:sz w:val="16"/>
              </w:rPr>
              <w:t>Formal equations; gradient-flow proof; comparison with rolling/partial/lagged correlation and state-only adaptive weighting.</w:t>
            </w:r>
          </w:p>
        </w:tc>
      </w:tr>
      <w:tr>
        <w:tc>
          <w:tcPr>
            <w:tcW w:type="dxa" w:w="3286"/>
            <w:vAlign w:val="center"/>
            <w:shd w:fill="F1F5F9"/>
          </w:tcPr>
          <w:p>
            <w:pPr>
              <w:spacing w:after="40"/>
            </w:pPr>
            <w:r/>
            <w:r>
              <w:rPr>
                <w:b w:val="0"/>
                <w:sz w:val="16"/>
              </w:rPr>
              <w:t>Interaction-aware control improves nonstationary adaptation</w:t>
            </w:r>
          </w:p>
        </w:tc>
        <w:tc>
          <w:tcPr>
            <w:tcW w:type="dxa" w:w="3286"/>
            <w:vAlign w:val="center"/>
            <w:shd w:fill="F1F5F9"/>
          </w:tcPr>
          <w:p>
            <w:pPr>
              <w:spacing w:after="40"/>
            </w:pPr>
            <w:r/>
            <w:r>
              <w:rPr>
                <w:b w:val="0"/>
                <w:sz w:val="16"/>
              </w:rPr>
              <w:t>Show that interaction information—not added parameters or extra training—causes the gain.</w:t>
            </w:r>
          </w:p>
        </w:tc>
        <w:tc>
          <w:tcPr>
            <w:tcW w:type="dxa" w:w="3286"/>
            <w:vAlign w:val="center"/>
            <w:shd w:fill="F1F5F9"/>
          </w:tcPr>
          <w:p>
            <w:pPr>
              <w:spacing w:after="40"/>
            </w:pPr>
            <w:r/>
            <w:r>
              <w:rPr>
                <w:b w:val="0"/>
                <w:sz w:val="16"/>
              </w:rPr>
              <w:t>Interaction ablation, shuffled interaction, held-out regime shifts, adaptation latency and paired stats.</w:t>
            </w:r>
          </w:p>
        </w:tc>
      </w:tr>
      <w:tr>
        <w:tc>
          <w:tcPr>
            <w:tcW w:type="dxa" w:w="3286"/>
            <w:vAlign w:val="center"/>
          </w:tcPr>
          <w:p>
            <w:pPr>
              <w:spacing w:after="40"/>
            </w:pPr>
            <w:r/>
            <w:r>
              <w:rPr>
                <w:b w:val="0"/>
                <w:sz w:val="16"/>
              </w:rPr>
              <w:t>Fairer traffic control</w:t>
            </w:r>
          </w:p>
        </w:tc>
        <w:tc>
          <w:tcPr>
            <w:tcW w:type="dxa" w:w="3286"/>
            <w:vAlign w:val="center"/>
          </w:tcPr>
          <w:p>
            <w:pPr>
              <w:spacing w:after="40"/>
            </w:pPr>
            <w:r/>
            <w:r>
              <w:rPr>
                <w:b w:val="0"/>
                <w:sz w:val="16"/>
              </w:rPr>
              <w:t>Define fairness at vehicle/approach level, not only variance across five aggregate intersection waiting values.</w:t>
            </w:r>
          </w:p>
        </w:tc>
        <w:tc>
          <w:tcPr>
            <w:tcW w:type="dxa" w:w="3286"/>
            <w:vAlign w:val="center"/>
          </w:tcPr>
          <w:p>
            <w:pPr>
              <w:spacing w:after="40"/>
            </w:pPr>
            <w:r/>
            <w:r>
              <w:rPr>
                <w:b w:val="0"/>
                <w:sz w:val="16"/>
              </w:rPr>
              <w:t>Tail delay and disparity metrics, constraint satisfaction and no hidden throughput sacrifice.</w:t>
            </w:r>
          </w:p>
        </w:tc>
      </w:tr>
      <w:tr>
        <w:tc>
          <w:tcPr>
            <w:tcW w:type="dxa" w:w="3286"/>
            <w:vAlign w:val="center"/>
            <w:shd w:fill="F1F5F9"/>
          </w:tcPr>
          <w:p>
            <w:pPr>
              <w:spacing w:after="40"/>
            </w:pPr>
            <w:r/>
            <w:r>
              <w:rPr>
                <w:b w:val="0"/>
                <w:sz w:val="16"/>
              </w:rPr>
              <w:t>Robust multi-objective performance</w:t>
            </w:r>
          </w:p>
        </w:tc>
        <w:tc>
          <w:tcPr>
            <w:tcW w:type="dxa" w:w="3286"/>
            <w:vAlign w:val="center"/>
            <w:shd w:fill="F1F5F9"/>
          </w:tcPr>
          <w:p>
            <w:pPr>
              <w:spacing w:after="40"/>
            </w:pPr>
            <w:r/>
            <w:r>
              <w:rPr>
                <w:b w:val="0"/>
                <w:sz w:val="16"/>
              </w:rPr>
              <w:t>Do not equate a slightly better scalar reward in one scenario with robustness.</w:t>
            </w:r>
          </w:p>
        </w:tc>
        <w:tc>
          <w:tcPr>
            <w:tcW w:type="dxa" w:w="3286"/>
            <w:vAlign w:val="center"/>
            <w:shd w:fill="F1F5F9"/>
          </w:tcPr>
          <w:p>
            <w:pPr>
              <w:spacing w:after="40"/>
            </w:pPr>
            <w:r/>
            <w:r>
              <w:rPr>
                <w:b w:val="0"/>
                <w:sz w:val="16"/>
              </w:rPr>
              <w:t>Multiple networks, scenarios, seeds, held-out demand and worst-case/Pareto results.</w:t>
            </w:r>
          </w:p>
        </w:tc>
      </w:tr>
      <w:tr>
        <w:tc>
          <w:tcPr>
            <w:tcW w:type="dxa" w:w="3286"/>
            <w:vAlign w:val="center"/>
          </w:tcPr>
          <w:p>
            <w:pPr>
              <w:spacing w:after="40"/>
            </w:pPr>
            <w:r/>
            <w:r>
              <w:rPr>
                <w:b w:val="0"/>
                <w:sz w:val="16"/>
              </w:rPr>
              <w:t>Real-time feasibility</w:t>
            </w:r>
          </w:p>
        </w:tc>
        <w:tc>
          <w:tcPr>
            <w:tcW w:type="dxa" w:w="3286"/>
            <w:vAlign w:val="center"/>
          </w:tcPr>
          <w:p>
            <w:pPr>
              <w:spacing w:after="40"/>
            </w:pPr>
            <w:r/>
            <w:r>
              <w:rPr>
                <w:b w:val="0"/>
                <w:sz w:val="16"/>
              </w:rPr>
              <w:t>Do not infer from simulation step speed alone.</w:t>
            </w:r>
          </w:p>
        </w:tc>
        <w:tc>
          <w:tcPr>
            <w:tcW w:type="dxa" w:w="3286"/>
            <w:vAlign w:val="center"/>
          </w:tcPr>
          <w:p>
            <w:pPr>
              <w:spacing w:after="40"/>
            </w:pPr>
            <w:r/>
            <w:r>
              <w:rPr>
                <w:b w:val="0"/>
                <w:sz w:val="16"/>
              </w:rPr>
              <w:t>Measured model inference latency on stated hardware; complete control-loop budget; safe fallback and detector assumptions.</w:t>
            </w:r>
          </w:p>
        </w:tc>
      </w:tr>
    </w:tbl>
    <w:p>
      <w:pPr>
        <w:spacing w:after="0"/>
      </w:pPr>
    </w:p>
    <w:p>
      <w:pPr>
        <w:pStyle w:val="Heading1"/>
      </w:pPr>
      <w:r>
        <w:t>10. Related-work positioning to investigate</w:t>
      </w:r>
    </w:p>
    <w:p>
      <w:r>
        <w:t>The literature scan already identifies several close research families. Multi-objective DRL has been applied to safety, efficiency and decarbonization at intersections; IEEE work has combined multi-objective rewards with graph-attention cooperation; fairness-oriented constrained MAPPO has been studied; surveys identify scalability, generalization, safety and simulation-to-reality transfer as persistent issues. Therefore, “multi-objective,” “adaptive,” “graph-based,” or “fairness-aware” alone is not a defensible novelty claim.</w:t>
      </w:r>
    </w:p>
    <w:tbl>
      <w:tblPr>
        <w:tblStyle w:val="TableGrid"/>
        <w:tblW w:type="auto" w:w="0"/>
        <w:jc w:val="center"/>
        <w:tblLook w:firstColumn="1" w:firstRow="1" w:lastColumn="0" w:lastRow="0" w:noHBand="0" w:noVBand="1" w:val="04A0"/>
      </w:tblPr>
      <w:tblGrid>
        <w:gridCol w:w="4929"/>
        <w:gridCol w:w="4929"/>
      </w:tblGrid>
      <w:tr>
        <w:tc>
          <w:tcPr>
            <w:tcW w:type="dxa" w:w="4929"/>
            <w:vAlign w:val="center"/>
            <w:shd w:fill="17365D"/>
          </w:tcPr>
          <w:p>
            <w:pPr>
              <w:spacing w:after="40"/>
            </w:pPr>
            <w:r/>
            <w:r>
              <w:rPr>
                <w:b/>
                <w:color w:val="FFFFFF"/>
                <w:sz w:val="17"/>
              </w:rPr>
              <w:t>Research family / source</w:t>
            </w:r>
          </w:p>
        </w:tc>
        <w:tc>
          <w:tcPr>
            <w:tcW w:type="dxa" w:w="4929"/>
            <w:vAlign w:val="center"/>
            <w:shd w:fill="17365D"/>
          </w:tcPr>
          <w:p>
            <w:pPr>
              <w:spacing w:after="40"/>
            </w:pPr>
            <w:r/>
            <w:r>
              <w:rPr>
                <w:b/>
                <w:color w:val="FFFFFF"/>
                <w:sz w:val="17"/>
              </w:rPr>
              <w:t>What it signals for DOIM positioning</w:t>
            </w:r>
          </w:p>
        </w:tc>
      </w:tr>
      <w:tr>
        <w:tc>
          <w:tcPr>
            <w:tcW w:type="dxa" w:w="4929"/>
            <w:vAlign w:val="center"/>
          </w:tcPr>
          <w:p>
            <w:pPr>
              <w:spacing w:after="40"/>
            </w:pPr>
            <w:r/>
            <w:r>
              <w:rPr>
                <w:b w:val="0"/>
                <w:sz w:val="16"/>
              </w:rPr>
              <w:t>Multi-objective DRL for safety, efficiency and decarbonization (Accident Analysis &amp; Prevention, 2024; DOI 10.1016/j.aap.2023.107451).</w:t>
            </w:r>
          </w:p>
        </w:tc>
        <w:tc>
          <w:tcPr>
            <w:tcW w:type="dxa" w:w="4929"/>
            <w:vAlign w:val="center"/>
          </w:tcPr>
          <w:p>
            <w:pPr>
              <w:spacing w:after="40"/>
            </w:pPr>
            <w:r/>
            <w:r>
              <w:rPr>
                <w:b w:val="0"/>
                <w:sz w:val="16"/>
              </w:rPr>
              <w:t>Multiple objectives including emissions are already established in traffic control; DOIM needs a sharper mechanism distinction.</w:t>
            </w:r>
          </w:p>
        </w:tc>
      </w:tr>
      <w:tr>
        <w:tc>
          <w:tcPr>
            <w:tcW w:type="dxa" w:w="4929"/>
            <w:vAlign w:val="center"/>
            <w:shd w:fill="F1F5F9"/>
          </w:tcPr>
          <w:p>
            <w:pPr>
              <w:spacing w:after="40"/>
            </w:pPr>
            <w:r/>
            <w:r>
              <w:rPr>
                <w:b w:val="0"/>
                <w:sz w:val="16"/>
              </w:rPr>
              <w:t>CMRM, IEEE Transactions on Consumer Electronics (2025; DOI 10.1109/TCE.2025.3563723).</w:t>
            </w:r>
          </w:p>
        </w:tc>
        <w:tc>
          <w:tcPr>
            <w:tcW w:type="dxa" w:w="4929"/>
            <w:vAlign w:val="center"/>
            <w:shd w:fill="F1F5F9"/>
          </w:tcPr>
          <w:p>
            <w:pPr>
              <w:spacing w:after="40"/>
            </w:pPr>
            <w:r/>
            <w:r>
              <w:rPr>
                <w:b w:val="0"/>
                <w:sz w:val="16"/>
              </w:rPr>
              <w:t>Multi-objective reward plus graph-attention cooperation and multi-intersection SUMO evaluation already exist.</w:t>
            </w:r>
          </w:p>
        </w:tc>
      </w:tr>
      <w:tr>
        <w:tc>
          <w:tcPr>
            <w:tcW w:type="dxa" w:w="4929"/>
            <w:vAlign w:val="center"/>
          </w:tcPr>
          <w:p>
            <w:pPr>
              <w:spacing w:after="40"/>
            </w:pPr>
            <w:r/>
            <w:r>
              <w:rPr>
                <w:b w:val="0"/>
                <w:sz w:val="16"/>
              </w:rPr>
              <w:t>Vehicle-Level Fairness-Oriented Constrained MAPPO, IEEE T-ITS (2025; DOI 10.1109/TITS.2025.3544223).</w:t>
            </w:r>
          </w:p>
        </w:tc>
        <w:tc>
          <w:tcPr>
            <w:tcW w:type="dxa" w:w="4929"/>
            <w:vAlign w:val="center"/>
          </w:tcPr>
          <w:p>
            <w:pPr>
              <w:spacing w:after="40"/>
            </w:pPr>
            <w:r/>
            <w:r>
              <w:rPr>
                <w:b w:val="0"/>
                <w:sz w:val="16"/>
              </w:rPr>
              <w:t>Vehicle-level fairness, constrained optimization and spatial-temporal graph modelling are established; fairness must be measured at a comparable level.</w:t>
            </w:r>
          </w:p>
        </w:tc>
      </w:tr>
      <w:tr>
        <w:tc>
          <w:tcPr>
            <w:tcW w:type="dxa" w:w="4929"/>
            <w:vAlign w:val="center"/>
            <w:shd w:fill="F1F5F9"/>
          </w:tcPr>
          <w:p>
            <w:pPr>
              <w:spacing w:after="40"/>
            </w:pPr>
            <w:r/>
            <w:r>
              <w:rPr>
                <w:b w:val="0"/>
                <w:sz w:val="16"/>
              </w:rPr>
              <w:t>Systematic review of RL in urban network TSC (Expert Systems with Applications, 2022; DOI 10.1016/j.eswa.2022.116830).</w:t>
            </w:r>
          </w:p>
        </w:tc>
        <w:tc>
          <w:tcPr>
            <w:tcW w:type="dxa" w:w="4929"/>
            <w:vAlign w:val="center"/>
            <w:shd w:fill="F1F5F9"/>
          </w:tcPr>
          <w:p>
            <w:pPr>
              <w:spacing w:after="40"/>
            </w:pPr>
            <w:r/>
            <w:r>
              <w:rPr>
                <w:b w:val="0"/>
                <w:sz w:val="16"/>
              </w:rPr>
              <w:t>Use a systematic review protocol, not a few selected references.</w:t>
            </w:r>
          </w:p>
        </w:tc>
      </w:tr>
      <w:tr>
        <w:tc>
          <w:tcPr>
            <w:tcW w:type="dxa" w:w="4929"/>
            <w:vAlign w:val="center"/>
          </w:tcPr>
          <w:p>
            <w:pPr>
              <w:spacing w:after="40"/>
            </w:pPr>
            <w:r/>
            <w:r>
              <w:rPr>
                <w:b w:val="0"/>
                <w:sz w:val="16"/>
              </w:rPr>
              <w:t>2026 TSC review (Artificial Intelligence Review; DOI 10.1007/s10462-026-11530-9).</w:t>
            </w:r>
          </w:p>
        </w:tc>
        <w:tc>
          <w:tcPr>
            <w:tcW w:type="dxa" w:w="4929"/>
            <w:vAlign w:val="center"/>
          </w:tcPr>
          <w:p>
            <w:pPr>
              <w:spacing w:after="40"/>
            </w:pPr>
            <w:r/>
            <w:r>
              <w:rPr>
                <w:b w:val="0"/>
                <w:sz w:val="16"/>
              </w:rPr>
              <w:t>Current frontier includes generalization, scalability, data efficiency and adaptive reward weighting; update literature before submission.</w:t>
            </w:r>
          </w:p>
        </w:tc>
      </w:tr>
      <w:tr>
        <w:tc>
          <w:tcPr>
            <w:tcW w:type="dxa" w:w="4929"/>
            <w:vAlign w:val="center"/>
            <w:shd w:fill="F1F5F9"/>
          </w:tcPr>
          <w:p>
            <w:pPr>
              <w:spacing w:after="40"/>
            </w:pPr>
            <w:r/>
            <w:r>
              <w:rPr>
                <w:b w:val="0"/>
                <w:sz w:val="16"/>
              </w:rPr>
              <w:t>2026 adaptive distributed multi-objective collaborative TSC (Future Generation Computer Systems; DOI 10.1016/j.future.2026.108526).</w:t>
            </w:r>
          </w:p>
        </w:tc>
        <w:tc>
          <w:tcPr>
            <w:tcW w:type="dxa" w:w="4929"/>
            <w:vAlign w:val="center"/>
            <w:shd w:fill="F1F5F9"/>
          </w:tcPr>
          <w:p>
            <w:pPr>
              <w:spacing w:after="40"/>
            </w:pPr>
            <w:r/>
            <w:r>
              <w:rPr>
                <w:b w:val="0"/>
                <w:sz w:val="16"/>
              </w:rPr>
              <w:t>Distributed adaptive cooperation is emerging; clarify whether DOIM is centralized, decentralized or a general objective module.</w:t>
            </w:r>
          </w:p>
        </w:tc>
      </w:tr>
    </w:tbl>
    <w:p>
      <w:pPr>
        <w:spacing w:after="0"/>
      </w:pPr>
    </w:p>
    <w:p>
      <w:r>
        <w:t>Initial source URLs: https://doi.org/10.1016/j.aap.2023.107451 ; https://doi.org/10.1109/TCE.2025.3563723 ; https://doi.org/10.1109/TITS.2025.3544223 ; https://doi.org/10.1016/j.eswa.2022.116830 ; https://doi.org/10.1007/s10462-026-11530-9 ; https://doi.org/10.1016/j.future.2026.108526</w:t>
      </w:r>
    </w:p>
    <w:p>
      <w:r>
        <w:t>Before submission, perform a structured search across IEEE Xplore, Scopus/Web of Science, ACM DL, ScienceDirect, SpringerLink and arXiv. Search combinations of: multi-objective RL; adaptive scalarization; dynamic preference; objective interaction; interaction graph; traffic signal control; nonstationary demand; fairness; constrained RL; Pareto; graph attention. Record inclusion/exclusion criteria, publication venue/year, method, objectives, simulator, baselines, scenario count, seeds and limitations.</w:t>
      </w:r>
    </w:p>
    <w:p>
      <w:pPr>
        <w:pStyle w:val="Heading1"/>
      </w:pPr>
      <w:r>
        <w:t>11. Recommended IEEE paper structure</w:t>
      </w:r>
    </w:p>
    <w:p>
      <w:pPr>
        <w:pStyle w:val="ListNumber"/>
        <w:spacing w:after="40"/>
      </w:pPr>
      <w:r>
        <w:t>Introduction: concrete operational problem; gap grounded in systematic literature review; research question; contributions as verifiable outcomes.</w:t>
      </w:r>
    </w:p>
    <w:p>
      <w:pPr>
        <w:pStyle w:val="ListNumber"/>
        <w:spacing w:after="40"/>
      </w:pPr>
      <w:r>
        <w:t>Related Work: multi-objective traffic RL; adaptive preference/scalarization; objective interactions; graph/temporal traffic RL; constrained and fairness-aware control; robust evaluation.</w:t>
      </w:r>
    </w:p>
    <w:p>
      <w:pPr>
        <w:pStyle w:val="ListNumber"/>
        <w:spacing w:after="40"/>
      </w:pPr>
      <w:r>
        <w:t>Problem Formulation: network graph, traffic state, action constraints, objective vector, episode dynamics, uncertainty and nonstationarity.</w:t>
      </w:r>
    </w:p>
    <w:p>
      <w:pPr>
        <w:pStyle w:val="ListNumber"/>
        <w:spacing w:after="40"/>
      </w:pPr>
      <w:r>
        <w:t>Method: interaction estimator; DOIM architecture; preference adaptation; training objective; safety/fairness constraints; algorithm pseudocode and complexity.</w:t>
      </w:r>
    </w:p>
    <w:p>
      <w:pPr>
        <w:pStyle w:val="ListNumber"/>
        <w:spacing w:after="40"/>
      </w:pPr>
      <w:r>
        <w:t>Experimental Setup: SUMO networks, demand/scenario generation, baselines, hyperparameters, seeds, hardware, evaluation protocol and metrics.</w:t>
      </w:r>
    </w:p>
    <w:p>
      <w:pPr>
        <w:pStyle w:val="ListNumber"/>
        <w:spacing w:after="40"/>
      </w:pPr>
      <w:r>
        <w:t>Results: headline comparisons; per-objective trade-offs; Pareto analysis; adaptation under distribution shift; fairness/safety; statistical tests.</w:t>
      </w:r>
    </w:p>
    <w:p>
      <w:pPr>
        <w:pStyle w:val="ListNumber"/>
        <w:spacing w:after="40"/>
      </w:pPr>
      <w:r>
        <w:t>Ablation and Analysis: which modules matter; interaction estimator analysis; preference dynamics; sensitivity and failure cases.</w:t>
      </w:r>
    </w:p>
    <w:p>
      <w:pPr>
        <w:pStyle w:val="ListNumber"/>
        <w:spacing w:after="40"/>
      </w:pPr>
      <w:r>
        <w:t>Runtime and Reproducibility: inference latency, training cost, code/data/checkpoints and rerun instructions.</w:t>
      </w:r>
    </w:p>
    <w:p>
      <w:pPr>
        <w:pStyle w:val="ListNumber"/>
        <w:spacing w:after="40"/>
      </w:pPr>
      <w:r>
        <w:t>Limitations and Threats to Validity: simulator dependence, metric calibration, demand realism, generalization, detector assumptions and external validity.</w:t>
      </w:r>
    </w:p>
    <w:p>
      <w:pPr>
        <w:pStyle w:val="ListNumber"/>
        <w:spacing w:after="40"/>
      </w:pPr>
      <w:r>
        <w:t>Conclusion: concise evidence-backed contributions; no unverified “first-ever” or deployment claims.</w:t>
      </w:r>
    </w:p>
    <w:p>
      <w:pPr>
        <w:pStyle w:val="Heading1"/>
      </w:pPr>
      <w:r>
        <w:t>12. Immediate next actions: exact order</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2464"/>
            <w:vAlign w:val="center"/>
            <w:shd w:fill="17365D"/>
          </w:tcPr>
          <w:p>
            <w:pPr>
              <w:spacing w:after="40"/>
            </w:pPr>
            <w:r/>
            <w:r>
              <w:rPr>
                <w:b/>
                <w:color w:val="FFFFFF"/>
                <w:sz w:val="17"/>
              </w:rPr>
              <w:t>Order</w:t>
            </w:r>
          </w:p>
        </w:tc>
        <w:tc>
          <w:tcPr>
            <w:tcW w:type="dxa" w:w="2464"/>
            <w:vAlign w:val="center"/>
            <w:shd w:fill="17365D"/>
          </w:tcPr>
          <w:p>
            <w:pPr>
              <w:spacing w:after="40"/>
            </w:pPr>
            <w:r/>
            <w:r>
              <w:rPr>
                <w:b/>
                <w:color w:val="FFFFFF"/>
                <w:sz w:val="17"/>
              </w:rPr>
              <w:t>Task</w:t>
            </w:r>
          </w:p>
        </w:tc>
        <w:tc>
          <w:tcPr>
            <w:tcW w:type="dxa" w:w="2464"/>
            <w:vAlign w:val="center"/>
            <w:shd w:fill="17365D"/>
          </w:tcPr>
          <w:p>
            <w:pPr>
              <w:spacing w:after="40"/>
            </w:pPr>
            <w:r/>
            <w:r>
              <w:rPr>
                <w:b/>
                <w:color w:val="FFFFFF"/>
                <w:sz w:val="17"/>
              </w:rPr>
              <w:t>Why first</w:t>
            </w:r>
          </w:p>
        </w:tc>
        <w:tc>
          <w:tcPr>
            <w:tcW w:type="dxa" w:w="2464"/>
            <w:vAlign w:val="center"/>
            <w:shd w:fill="17365D"/>
          </w:tcPr>
          <w:p>
            <w:pPr>
              <w:spacing w:after="40"/>
            </w:pPr>
            <w:r/>
            <w:r>
              <w:rPr>
                <w:b/>
                <w:color w:val="FFFFFF"/>
                <w:sz w:val="17"/>
              </w:rPr>
              <w:t>Completion test</w:t>
            </w:r>
          </w:p>
        </w:tc>
      </w:tr>
      <w:tr>
        <w:tc>
          <w:tcPr>
            <w:tcW w:type="dxa" w:w="2464"/>
            <w:vAlign w:val="center"/>
          </w:tcPr>
          <w:p>
            <w:pPr>
              <w:spacing w:after="40"/>
            </w:pPr>
            <w:r/>
            <w:r>
              <w:rPr>
                <w:b w:val="0"/>
                <w:sz w:val="16"/>
              </w:rPr>
              <w:t>1</w:t>
            </w:r>
          </w:p>
        </w:tc>
        <w:tc>
          <w:tcPr>
            <w:tcW w:type="dxa" w:w="2464"/>
            <w:vAlign w:val="center"/>
          </w:tcPr>
          <w:p>
            <w:pPr>
              <w:spacing w:after="40"/>
            </w:pPr>
            <w:r/>
            <w:r>
              <w:rPr>
                <w:b w:val="0"/>
                <w:sz w:val="16"/>
              </w:rPr>
              <w:t>Freeze current code/results and capture SHA + environment manifest.</w:t>
            </w:r>
          </w:p>
        </w:tc>
        <w:tc>
          <w:tcPr>
            <w:tcW w:type="dxa" w:w="2464"/>
            <w:vAlign w:val="center"/>
          </w:tcPr>
          <w:p>
            <w:pPr>
              <w:spacing w:after="40"/>
            </w:pPr>
            <w:r/>
            <w:r>
              <w:rPr>
                <w:b w:val="0"/>
                <w:sz w:val="16"/>
              </w:rPr>
              <w:t>Protect baseline and make results traceable.</w:t>
            </w:r>
          </w:p>
        </w:tc>
        <w:tc>
          <w:tcPr>
            <w:tcW w:type="dxa" w:w="2464"/>
            <w:vAlign w:val="center"/>
          </w:tcPr>
          <w:p>
            <w:pPr>
              <w:spacing w:after="40"/>
            </w:pPr>
            <w:r/>
            <w:r>
              <w:rPr>
                <w:b w:val="0"/>
                <w:sz w:val="16"/>
              </w:rPr>
              <w:t>Baseline tag and checksum manifest exist.</w:t>
            </w:r>
          </w:p>
        </w:tc>
      </w:tr>
      <w:tr>
        <w:tc>
          <w:tcPr>
            <w:tcW w:type="dxa" w:w="2464"/>
            <w:vAlign w:val="center"/>
            <w:shd w:fill="F1F5F9"/>
          </w:tcPr>
          <w:p>
            <w:pPr>
              <w:spacing w:after="40"/>
            </w:pPr>
            <w:r/>
            <w:r>
              <w:rPr>
                <w:b w:val="0"/>
                <w:sz w:val="16"/>
              </w:rPr>
              <w:t>2</w:t>
            </w:r>
          </w:p>
        </w:tc>
        <w:tc>
          <w:tcPr>
            <w:tcW w:type="dxa" w:w="2464"/>
            <w:vAlign w:val="center"/>
            <w:shd w:fill="F1F5F9"/>
          </w:tcPr>
          <w:p>
            <w:pPr>
              <w:spacing w:after="40"/>
            </w:pPr>
            <w:r/>
            <w:r>
              <w:rPr>
                <w:b w:val="0"/>
                <w:sz w:val="16"/>
              </w:rPr>
              <w:t>Audit/fix 3×3 graph versus five controllable TLS mapping.</w:t>
            </w:r>
          </w:p>
        </w:tc>
        <w:tc>
          <w:tcPr>
            <w:tcW w:type="dxa" w:w="2464"/>
            <w:vAlign w:val="center"/>
            <w:shd w:fill="F1F5F9"/>
          </w:tcPr>
          <w:p>
            <w:pPr>
              <w:spacing w:after="40"/>
            </w:pPr>
            <w:r/>
            <w:r>
              <w:rPr>
                <w:b w:val="0"/>
                <w:sz w:val="16"/>
              </w:rPr>
              <w:t>Potential structural mismatch affects all GNN results.</w:t>
            </w:r>
          </w:p>
        </w:tc>
        <w:tc>
          <w:tcPr>
            <w:tcW w:type="dxa" w:w="2464"/>
            <w:vAlign w:val="center"/>
            <w:shd w:fill="F1F5F9"/>
          </w:tcPr>
          <w:p>
            <w:pPr>
              <w:spacing w:after="40"/>
            </w:pPr>
            <w:r/>
            <w:r>
              <w:rPr>
                <w:b w:val="0"/>
                <w:sz w:val="16"/>
              </w:rPr>
              <w:t>Explicit mapping assertions pass for each topology.</w:t>
            </w:r>
          </w:p>
        </w:tc>
      </w:tr>
      <w:tr>
        <w:tc>
          <w:tcPr>
            <w:tcW w:type="dxa" w:w="2464"/>
            <w:vAlign w:val="center"/>
          </w:tcPr>
          <w:p>
            <w:pPr>
              <w:spacing w:after="40"/>
            </w:pPr>
            <w:r/>
            <w:r>
              <w:rPr>
                <w:b w:val="0"/>
                <w:sz w:val="16"/>
              </w:rPr>
              <w:t>3</w:t>
            </w:r>
          </w:p>
        </w:tc>
        <w:tc>
          <w:tcPr>
            <w:tcW w:type="dxa" w:w="2464"/>
            <w:vAlign w:val="center"/>
          </w:tcPr>
          <w:p>
            <w:pPr>
              <w:spacing w:after="40"/>
            </w:pPr>
            <w:r/>
            <w:r>
              <w:rPr>
                <w:b w:val="0"/>
                <w:sz w:val="16"/>
              </w:rPr>
              <w:t>Fix independent multi-seed training/evaluation and reconcile summary artefacts.</w:t>
            </w:r>
          </w:p>
        </w:tc>
        <w:tc>
          <w:tcPr>
            <w:tcW w:type="dxa" w:w="2464"/>
            <w:vAlign w:val="center"/>
          </w:tcPr>
          <w:p>
            <w:pPr>
              <w:spacing w:after="40"/>
            </w:pPr>
            <w:r/>
            <w:r>
              <w:rPr>
                <w:b w:val="0"/>
                <w:sz w:val="16"/>
              </w:rPr>
              <w:t>Current replication evidence is questionable.</w:t>
            </w:r>
          </w:p>
        </w:tc>
        <w:tc>
          <w:tcPr>
            <w:tcW w:type="dxa" w:w="2464"/>
            <w:vAlign w:val="center"/>
          </w:tcPr>
          <w:p>
            <w:pPr>
              <w:spacing w:after="40"/>
            </w:pPr>
            <w:r/>
            <w:r>
              <w:rPr>
                <w:b w:val="0"/>
                <w:sz w:val="16"/>
              </w:rPr>
              <w:t>Distinct checkpoint hashes and seed-specific result rows.</w:t>
            </w:r>
          </w:p>
        </w:tc>
      </w:tr>
      <w:tr>
        <w:tc>
          <w:tcPr>
            <w:tcW w:type="dxa" w:w="2464"/>
            <w:vAlign w:val="center"/>
            <w:shd w:fill="F1F5F9"/>
          </w:tcPr>
          <w:p>
            <w:pPr>
              <w:spacing w:after="40"/>
            </w:pPr>
            <w:r/>
            <w:r>
              <w:rPr>
                <w:b w:val="0"/>
                <w:sz w:val="16"/>
              </w:rPr>
              <w:t>4</w:t>
            </w:r>
          </w:p>
        </w:tc>
        <w:tc>
          <w:tcPr>
            <w:tcW w:type="dxa" w:w="2464"/>
            <w:vAlign w:val="center"/>
            <w:shd w:fill="F1F5F9"/>
          </w:tcPr>
          <w:p>
            <w:pPr>
              <w:spacing w:after="40"/>
            </w:pPr>
            <w:r/>
            <w:r>
              <w:rPr>
                <w:b w:val="0"/>
                <w:sz w:val="16"/>
              </w:rPr>
              <w:t>Validate units/aggregation for CO₂, throughput, waiting and fairness.</w:t>
            </w:r>
          </w:p>
        </w:tc>
        <w:tc>
          <w:tcPr>
            <w:tcW w:type="dxa" w:w="2464"/>
            <w:vAlign w:val="center"/>
            <w:shd w:fill="F1F5F9"/>
          </w:tcPr>
          <w:p>
            <w:pPr>
              <w:spacing w:after="40"/>
            </w:pPr>
            <w:r/>
            <w:r>
              <w:rPr>
                <w:b w:val="0"/>
                <w:sz w:val="16"/>
              </w:rPr>
              <w:t>Metrics define the scientific claim.</w:t>
            </w:r>
          </w:p>
        </w:tc>
        <w:tc>
          <w:tcPr>
            <w:tcW w:type="dxa" w:w="2464"/>
            <w:vAlign w:val="center"/>
            <w:shd w:fill="F1F5F9"/>
          </w:tcPr>
          <w:p>
            <w:pPr>
              <w:spacing w:after="40"/>
            </w:pPr>
            <w:r/>
            <w:r>
              <w:rPr>
                <w:b w:val="0"/>
                <w:sz w:val="16"/>
              </w:rPr>
              <w:t>Unit tests and SUMO cross-checks pass.</w:t>
            </w:r>
          </w:p>
        </w:tc>
      </w:tr>
      <w:tr>
        <w:tc>
          <w:tcPr>
            <w:tcW w:type="dxa" w:w="2464"/>
            <w:vAlign w:val="center"/>
          </w:tcPr>
          <w:p>
            <w:pPr>
              <w:spacing w:after="40"/>
            </w:pPr>
            <w:r/>
            <w:r>
              <w:rPr>
                <w:b w:val="0"/>
                <w:sz w:val="16"/>
              </w:rPr>
              <w:t>5</w:t>
            </w:r>
          </w:p>
        </w:tc>
        <w:tc>
          <w:tcPr>
            <w:tcW w:type="dxa" w:w="2464"/>
            <w:vAlign w:val="center"/>
          </w:tcPr>
          <w:p>
            <w:pPr>
              <w:spacing w:after="40"/>
            </w:pPr>
            <w:r/>
            <w:r>
              <w:rPr>
                <w:b w:val="0"/>
                <w:sz w:val="16"/>
              </w:rPr>
              <w:t>Implement trainable DOIM pathway and gradient-flow tests.</w:t>
            </w:r>
          </w:p>
        </w:tc>
        <w:tc>
          <w:tcPr>
            <w:tcW w:type="dxa" w:w="2464"/>
            <w:vAlign w:val="center"/>
          </w:tcPr>
          <w:p>
            <w:pPr>
              <w:spacing w:after="40"/>
            </w:pPr>
            <w:r/>
            <w:r>
              <w:rPr>
                <w:b w:val="0"/>
                <w:sz w:val="16"/>
              </w:rPr>
              <w:t>Central validity gap in claimed novelty.</w:t>
            </w:r>
          </w:p>
        </w:tc>
        <w:tc>
          <w:tcPr>
            <w:tcW w:type="dxa" w:w="2464"/>
            <w:vAlign w:val="center"/>
          </w:tcPr>
          <w:p>
            <w:pPr>
              <w:spacing w:after="40"/>
            </w:pPr>
            <w:r/>
            <w:r>
              <w:rPr>
                <w:b w:val="0"/>
                <w:sz w:val="16"/>
              </w:rPr>
              <w:t>DOIM/GCN/GRU parameters update from declared loss.</w:t>
            </w:r>
          </w:p>
        </w:tc>
      </w:tr>
      <w:tr>
        <w:tc>
          <w:tcPr>
            <w:tcW w:type="dxa" w:w="2464"/>
            <w:vAlign w:val="center"/>
            <w:shd w:fill="F1F5F9"/>
          </w:tcPr>
          <w:p>
            <w:pPr>
              <w:spacing w:after="40"/>
            </w:pPr>
            <w:r/>
            <w:r>
              <w:rPr>
                <w:b w:val="0"/>
                <w:sz w:val="16"/>
              </w:rPr>
              <w:t>6</w:t>
            </w:r>
          </w:p>
        </w:tc>
        <w:tc>
          <w:tcPr>
            <w:tcW w:type="dxa" w:w="2464"/>
            <w:vAlign w:val="center"/>
            <w:shd w:fill="F1F5F9"/>
          </w:tcPr>
          <w:p>
            <w:pPr>
              <w:spacing w:after="40"/>
            </w:pPr>
            <w:r/>
            <w:r>
              <w:rPr>
                <w:b w:val="0"/>
                <w:sz w:val="16"/>
              </w:rPr>
              <w:t>Benchmark interaction estimators and test controlled demand interventions.</w:t>
            </w:r>
          </w:p>
        </w:tc>
        <w:tc>
          <w:tcPr>
            <w:tcW w:type="dxa" w:w="2464"/>
            <w:vAlign w:val="center"/>
            <w:shd w:fill="F1F5F9"/>
          </w:tcPr>
          <w:p>
            <w:pPr>
              <w:spacing w:after="40"/>
            </w:pPr>
            <w:r/>
            <w:r>
              <w:rPr>
                <w:b w:val="0"/>
                <w:sz w:val="16"/>
              </w:rPr>
              <w:t>Establish whether interaction information adds value.</w:t>
            </w:r>
          </w:p>
        </w:tc>
        <w:tc>
          <w:tcPr>
            <w:tcW w:type="dxa" w:w="2464"/>
            <w:vAlign w:val="center"/>
            <w:shd w:fill="F1F5F9"/>
          </w:tcPr>
          <w:p>
            <w:pPr>
              <w:spacing w:after="40"/>
            </w:pPr>
            <w:r/>
            <w:r>
              <w:rPr>
                <w:b w:val="0"/>
                <w:sz w:val="16"/>
              </w:rPr>
              <w:t>Held-out predictive/control gain over correlation baselines.</w:t>
            </w:r>
          </w:p>
        </w:tc>
      </w:tr>
      <w:tr>
        <w:tc>
          <w:tcPr>
            <w:tcW w:type="dxa" w:w="2464"/>
            <w:vAlign w:val="center"/>
          </w:tcPr>
          <w:p>
            <w:pPr>
              <w:spacing w:after="40"/>
            </w:pPr>
            <w:r/>
            <w:r>
              <w:rPr>
                <w:b w:val="0"/>
                <w:sz w:val="16"/>
              </w:rPr>
              <w:t>7</w:t>
            </w:r>
          </w:p>
        </w:tc>
        <w:tc>
          <w:tcPr>
            <w:tcW w:type="dxa" w:w="2464"/>
            <w:vAlign w:val="center"/>
          </w:tcPr>
          <w:p>
            <w:pPr>
              <w:spacing w:after="40"/>
            </w:pPr>
            <w:r/>
            <w:r>
              <w:rPr>
                <w:b w:val="0"/>
                <w:sz w:val="16"/>
              </w:rPr>
              <w:t>Add legal-action safety constraints and vehicle-level fairness.</w:t>
            </w:r>
          </w:p>
        </w:tc>
        <w:tc>
          <w:tcPr>
            <w:tcW w:type="dxa" w:w="2464"/>
            <w:vAlign w:val="center"/>
          </w:tcPr>
          <w:p>
            <w:pPr>
              <w:spacing w:after="40"/>
            </w:pPr>
            <w:r/>
            <w:r>
              <w:rPr>
                <w:b w:val="0"/>
                <w:sz w:val="16"/>
              </w:rPr>
              <w:t>Move from reward-only prototype to credible traffic controller.</w:t>
            </w:r>
          </w:p>
        </w:tc>
        <w:tc>
          <w:tcPr>
            <w:tcW w:type="dxa" w:w="2464"/>
            <w:vAlign w:val="center"/>
          </w:tcPr>
          <w:p>
            <w:pPr>
              <w:spacing w:after="40"/>
            </w:pPr>
            <w:r/>
            <w:r>
              <w:rPr>
                <w:b w:val="0"/>
                <w:sz w:val="16"/>
              </w:rPr>
              <w:t>Zero rule violations and complete fairness report.</w:t>
            </w:r>
          </w:p>
        </w:tc>
      </w:tr>
      <w:tr>
        <w:tc>
          <w:tcPr>
            <w:tcW w:type="dxa" w:w="2464"/>
            <w:vAlign w:val="center"/>
            <w:shd w:fill="F1F5F9"/>
          </w:tcPr>
          <w:p>
            <w:pPr>
              <w:spacing w:after="40"/>
            </w:pPr>
            <w:r/>
            <w:r>
              <w:rPr>
                <w:b w:val="0"/>
                <w:sz w:val="16"/>
              </w:rPr>
              <w:t>8</w:t>
            </w:r>
          </w:p>
        </w:tc>
        <w:tc>
          <w:tcPr>
            <w:tcW w:type="dxa" w:w="2464"/>
            <w:vAlign w:val="center"/>
            <w:shd w:fill="F1F5F9"/>
          </w:tcPr>
          <w:p>
            <w:pPr>
              <w:spacing w:after="40"/>
            </w:pPr>
            <w:r/>
            <w:r>
              <w:rPr>
                <w:b w:val="0"/>
                <w:sz w:val="16"/>
              </w:rPr>
              <w:t>Run scenario-generalization, baselines and ablations with statistical plan.</w:t>
            </w:r>
          </w:p>
        </w:tc>
        <w:tc>
          <w:tcPr>
            <w:tcW w:type="dxa" w:w="2464"/>
            <w:vAlign w:val="center"/>
            <w:shd w:fill="F1F5F9"/>
          </w:tcPr>
          <w:p>
            <w:pPr>
              <w:spacing w:after="40"/>
            </w:pPr>
            <w:r/>
            <w:r>
              <w:rPr>
                <w:b w:val="0"/>
                <w:sz w:val="16"/>
              </w:rPr>
              <w:t>Core evidence for IEEE-grade paper.</w:t>
            </w:r>
          </w:p>
        </w:tc>
        <w:tc>
          <w:tcPr>
            <w:tcW w:type="dxa" w:w="2464"/>
            <w:vAlign w:val="center"/>
            <w:shd w:fill="F1F5F9"/>
          </w:tcPr>
          <w:p>
            <w:pPr>
              <w:spacing w:after="40"/>
            </w:pPr>
            <w:r/>
            <w:r>
              <w:rPr>
                <w:b w:val="0"/>
                <w:sz w:val="16"/>
              </w:rPr>
              <w:t>Full experiment matrix and reproducible result bundle.</w:t>
            </w:r>
          </w:p>
        </w:tc>
      </w:tr>
      <w:tr>
        <w:tc>
          <w:tcPr>
            <w:tcW w:type="dxa" w:w="2464"/>
            <w:vAlign w:val="center"/>
          </w:tcPr>
          <w:p>
            <w:pPr>
              <w:spacing w:after="40"/>
            </w:pPr>
            <w:r/>
            <w:r>
              <w:rPr>
                <w:b w:val="0"/>
                <w:sz w:val="16"/>
              </w:rPr>
              <w:t>9</w:t>
            </w:r>
          </w:p>
        </w:tc>
        <w:tc>
          <w:tcPr>
            <w:tcW w:type="dxa" w:w="2464"/>
            <w:vAlign w:val="center"/>
          </w:tcPr>
          <w:p>
            <w:pPr>
              <w:spacing w:after="40"/>
            </w:pPr>
            <w:r/>
            <w:r>
              <w:rPr>
                <w:b w:val="0"/>
                <w:sz w:val="16"/>
              </w:rPr>
              <w:t>Run systematic literature comparison and write claims from evidence.</w:t>
            </w:r>
          </w:p>
        </w:tc>
        <w:tc>
          <w:tcPr>
            <w:tcW w:type="dxa" w:w="2464"/>
            <w:vAlign w:val="center"/>
          </w:tcPr>
          <w:p>
            <w:pPr>
              <w:spacing w:after="40"/>
            </w:pPr>
            <w:r/>
            <w:r>
              <w:rPr>
                <w:b w:val="0"/>
                <w:sz w:val="16"/>
              </w:rPr>
              <w:t>Avoid novelty overstatement.</w:t>
            </w:r>
          </w:p>
        </w:tc>
        <w:tc>
          <w:tcPr>
            <w:tcW w:type="dxa" w:w="2464"/>
            <w:vAlign w:val="center"/>
          </w:tcPr>
          <w:p>
            <w:pPr>
              <w:spacing w:after="40"/>
            </w:pPr>
            <w:r/>
            <w:r>
              <w:rPr>
                <w:b w:val="0"/>
                <w:sz w:val="16"/>
              </w:rPr>
              <w:t>Claim-evidence ledger complete and citations checked.</w:t>
            </w:r>
          </w:p>
        </w:tc>
      </w:tr>
      <w:tr>
        <w:tc>
          <w:tcPr>
            <w:tcW w:type="dxa" w:w="2464"/>
            <w:vAlign w:val="center"/>
            <w:shd w:fill="F1F5F9"/>
          </w:tcPr>
          <w:p>
            <w:pPr>
              <w:spacing w:after="40"/>
            </w:pPr>
            <w:r/>
            <w:r>
              <w:rPr>
                <w:b w:val="0"/>
                <w:sz w:val="16"/>
              </w:rPr>
              <w:t>10</w:t>
            </w:r>
          </w:p>
        </w:tc>
        <w:tc>
          <w:tcPr>
            <w:tcW w:type="dxa" w:w="2464"/>
            <w:vAlign w:val="center"/>
            <w:shd w:fill="F1F5F9"/>
          </w:tcPr>
          <w:p>
            <w:pPr>
              <w:spacing w:after="40"/>
            </w:pPr>
            <w:r/>
            <w:r>
              <w:rPr>
                <w:b w:val="0"/>
                <w:sz w:val="16"/>
              </w:rPr>
              <w:t>Prepare manuscript, artifact release and internal red-team replication.</w:t>
            </w:r>
          </w:p>
        </w:tc>
        <w:tc>
          <w:tcPr>
            <w:tcW w:type="dxa" w:w="2464"/>
            <w:vAlign w:val="center"/>
            <w:shd w:fill="F1F5F9"/>
          </w:tcPr>
          <w:p>
            <w:pPr>
              <w:spacing w:after="40"/>
            </w:pPr>
            <w:r/>
            <w:r>
              <w:rPr>
                <w:b w:val="0"/>
                <w:sz w:val="16"/>
              </w:rPr>
              <w:t>Submission readiness.</w:t>
            </w:r>
          </w:p>
        </w:tc>
        <w:tc>
          <w:tcPr>
            <w:tcW w:type="dxa" w:w="2464"/>
            <w:vAlign w:val="center"/>
            <w:shd w:fill="F1F5F9"/>
          </w:tcPr>
          <w:p>
            <w:pPr>
              <w:spacing w:after="40"/>
            </w:pPr>
            <w:r/>
            <w:r>
              <w:rPr>
                <w:b w:val="0"/>
                <w:sz w:val="16"/>
              </w:rPr>
              <w:t>Clean-clone rerun regenerates headline tables and figures.</w:t>
            </w:r>
          </w:p>
        </w:tc>
      </w:tr>
    </w:tbl>
    <w:p>
      <w:pPr>
        <w:spacing w:after="0"/>
      </w:pPr>
    </w:p>
    <w:p>
      <w:pPr>
        <w:pStyle w:val="Heading1"/>
      </w:pPr>
      <w:r>
        <w:t>13. Manuscript-readiness gate</w:t>
      </w:r>
    </w:p>
    <w:p>
      <w:r>
        <w:t>Do not submit until all of the following are true:</w:t>
      </w:r>
    </w:p>
    <w:p>
      <w:pPr>
        <w:pStyle w:val="ListBullet"/>
        <w:spacing w:after="40"/>
      </w:pPr>
      <w:r>
        <w:t>The method claimed in the paper is the method executed by the code; trainable components have gradient and checkpoint evidence.</w:t>
      </w:r>
    </w:p>
    <w:p>
      <w:pPr>
        <w:pStyle w:val="ListBullet"/>
        <w:spacing w:after="40"/>
      </w:pPr>
      <w:r>
        <w:t>The graph topology, traffic-light mapping, action semantics and objective units are documented and tested.</w:t>
      </w:r>
    </w:p>
    <w:p>
      <w:pPr>
        <w:pStyle w:val="ListBullet"/>
        <w:spacing w:after="40"/>
      </w:pPr>
      <w:r>
        <w:t>Every baseline is independently trained/tuned under a fair protocol, and every evaluation is repeated over independent seeds and paired demand episodes.</w:t>
      </w:r>
    </w:p>
    <w:p>
      <w:pPr>
        <w:pStyle w:val="ListBullet"/>
        <w:spacing w:after="40"/>
      </w:pPr>
      <w:r>
        <w:t>At least one held-out network or demand regime supports generalization beyond the training configuration.</w:t>
      </w:r>
    </w:p>
    <w:p>
      <w:pPr>
        <w:pStyle w:val="ListBullet"/>
        <w:spacing w:after="40"/>
      </w:pPr>
      <w:r>
        <w:t>The proposed interaction module beats simple statistical and state-only adaptive baselines, and its contribution survives relevant ablations.</w:t>
      </w:r>
    </w:p>
    <w:p>
      <w:pPr>
        <w:pStyle w:val="ListBullet"/>
        <w:spacing w:after="40"/>
      </w:pPr>
      <w:r>
        <w:t>Fairness and safety are explicitly defined and reported; no hidden objective collapse is concealed by scalar reward.</w:t>
      </w:r>
    </w:p>
    <w:p>
      <w:pPr>
        <w:pStyle w:val="ListBullet"/>
        <w:spacing w:after="40"/>
      </w:pPr>
      <w:r>
        <w:t>All key claims have confidence intervals/effect sizes and results regenerate from raw artifacts.</w:t>
      </w:r>
    </w:p>
    <w:p>
      <w:pPr>
        <w:pStyle w:val="ListBullet"/>
        <w:spacing w:after="40"/>
      </w:pPr>
      <w:r>
        <w:t>The related-work search is current through the intended submission date and novelty claims are narrowly scoped.</w:t>
      </w:r>
    </w:p>
    <w:p>
      <w:pPr>
        <w:pStyle w:val="ListBullet"/>
        <w:spacing w:after="40"/>
      </w:pPr>
      <w:r>
        <w:t>Limitations and simulation-to-reality caveats are explicit.</w:t>
      </w:r>
    </w:p>
    <w:p>
      <w:pPr>
        <w:pStyle w:val="Heading1"/>
      </w:pPr>
      <w:r>
        <w:t>Appendix A. Repository artefacts inspected</w:t>
      </w:r>
    </w:p>
    <w:p>
      <w:r>
        <w:t>Repository: https://github.com/Ramya282006/DOIM-Traffic-RL (public; default branch main). Repository tree reviewed recursively. Key source files inspected include:</w:t>
      </w:r>
    </w:p>
    <w:p>
      <w:pPr>
        <w:pStyle w:val="ListBullet"/>
        <w:spacing w:after="40"/>
      </w:pPr>
      <w:r>
        <w:t>DOIM-Traffic-RL/models/doim.py, spatial_encoder.py, temporal_encoder.py</w:t>
      </w:r>
    </w:p>
    <w:p>
      <w:pPr>
        <w:pStyle w:val="ListBullet"/>
        <w:spacing w:after="40"/>
      </w:pPr>
      <w:r>
        <w:t>DOIM-Traffic-RL/environment/doim_processor.py, sumo_env.py, fixed_weight_env.py, state_extractor.py</w:t>
      </w:r>
    </w:p>
    <w:p>
      <w:pPr>
        <w:pStyle w:val="ListBullet"/>
        <w:spacing w:after="40"/>
      </w:pPr>
      <w:r>
        <w:t>DOIM-Traffic-RL/objectives/doim_reward.py, objective_engine.py, objective_interaction.py, objective_normalizer.py</w:t>
      </w:r>
    </w:p>
    <w:p>
      <w:pPr>
        <w:pStyle w:val="ListBullet"/>
        <w:spacing w:after="40"/>
      </w:pPr>
      <w:r>
        <w:t>DOIM-Traffic-RL/training/train_ppo.py, train_fixed_ppo.py, evaluate.py, evaluate_multiseed.py, evaluate_comparison.py</w:t>
      </w:r>
    </w:p>
    <w:p>
      <w:pPr>
        <w:pStyle w:val="ListBullet"/>
        <w:spacing w:after="40"/>
      </w:pPr>
      <w:r>
        <w:t>DOIM-Traffic-RL/analysis/analyze_objective_interactions.py</w:t>
      </w:r>
    </w:p>
    <w:p>
      <w:pPr>
        <w:pStyle w:val="ListBullet"/>
        <w:spacing w:after="40"/>
      </w:pPr>
      <w:r>
        <w:t>DOIM-Traffic-RL/results/evaluation/doim_ppo_summary.json, fixed_ppo_summary.json, multiseed_results.csv</w:t>
      </w:r>
    </w:p>
    <w:p>
      <w:pPr>
        <w:pStyle w:val="ListBullet"/>
        <w:spacing w:after="40"/>
      </w:pPr>
      <w:r>
        <w:t>DOIM-Traffic-RL/results/objective_interactions/final_interaction_matrix.csv; PPO checkpoints and TensorBoard event files; scenario and test directories.</w:t>
      </w:r>
    </w:p>
    <w:p>
      <w:r>
        <w:t>Review limitation: GitHub metadata and source files were accessible, but some API content endpoints did not resolve in the initial request path. Code review was based on the recursive Git tree and fetched source/result files listed above. The repository’s README could not be relied on as a primary specification. No code was executed locally and no simulation was rerun for this document.</w:t>
      </w:r>
    </w:p>
    <w:p>
      <w:pPr>
        <w:pStyle w:val="Heading1"/>
      </w:pPr>
      <w:r>
        <w:t>Appendix B. Selected literature references</w:t>
      </w:r>
    </w:p>
    <w:p>
      <w:r>
        <w:t>[1] G. Zhang, F. Chang, J. Jin, F. Yang, and H. Huang, “Multi-objective deep reinforcement learning approach for adaptive traffic signal control system with concurrent optimization of safety, efficiency, and decarbonization at intersections,” Accident Analysis &amp; Prevention, vol. 199, 2024, Art. no. 107451, doi: 10.1016/j.aap.2023.107451.</w:t>
      </w:r>
    </w:p>
    <w:p>
      <w:r>
        <w:t>[2] “CMRM: Collaborative Multi-Agent Reinforcement Learning for Multi-Objective Traffic Signal Control,” IEEE Transactions on Consumer Electronics, vol. 71, no. 2, pp. 2793–2805, 2025, doi: 10.1109/TCE.2025.3563723.</w:t>
      </w:r>
    </w:p>
    <w:p>
      <w:r>
        <w:t>[3] “Vehicle-Level Fairness-Oriented Constrained Multi-Agent Reinforcement Learning for Adaptive Traffic Signal Control,” IEEE Transactions on Intelligent Transportation Systems, vol. 26, no. 4, pp. 4878–4890, 2025, doi: 10.1109/TITS.2025.3544223.</w:t>
      </w:r>
    </w:p>
    <w:p>
      <w:r>
        <w:t>[4] M. Noaeen et al., “Reinforcement learning in urban network traffic signal control: A systematic literature review,” Expert Systems with Applications, vol. 199, 2022, Art. no. 116830, doi: 10.1016/j.eswa.2022.116830.</w:t>
      </w:r>
    </w:p>
    <w:p>
      <w:r>
        <w:t>[5] H. Xiao et al., “Intelligent traffic signal control based on reinforcement learning: a survey,” Artificial Intelligence Review, vol. 59, 2026, Art. no. 128, doi: 10.1007/s10462-026-11530-9.</w:t>
      </w:r>
    </w:p>
    <w:p>
      <w:r>
        <w:t>[6] “Adaptive distributed multi-objective collaborative traffic signal control framework based on multi-agent reinforcement learning,” Future Generation Computer Systems, vol. 184, 2026, Art. no. 108526, doi: 10.1016/j.future.2026.108526.</w:t>
      </w:r>
    </w:p>
    <w:sectPr w:rsidR="00FC693F" w:rsidRPr="0006063C" w:rsidSect="00034616">
      <w:headerReference w:type="default" r:id="rId9"/>
      <w:footerReference w:type="default" r:id="rId10"/>
      <w:pgSz w:w="12240" w:h="15840"/>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Research planning document  •  Repository baseline reviewed  •  31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DOIM-TRAFFIC-RL  |  RESEARCH DEVELOPMENT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42D4E"/>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76B87"/>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D5B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42D4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DOIM-Traffic-RL Research Upgrade and Validation Roadmap</dc:title>
  <dc:subject>Repository audit, research gap analysis, phased implementation plan and IEEE evidence strategy</dc:subject>
  <dc:creator>OpenAI</dc:creator>
  <cp:keywords>DOIM, traffic signal control, reinforcement learning, multi-objective optimization, IEEE research roadmap</cp:keywords>
  <dc:description>generated by python-docx</dc:description>
  <cp:lastModifiedBy/>
  <cp:revision>1</cp:revision>
  <dcterms:created xsi:type="dcterms:W3CDTF">2013-12-23T23:15:00Z</dcterms:created>
  <dcterms:modified xsi:type="dcterms:W3CDTF">2013-12-23T23:15:00Z</dcterms:modified>
  <cp:category/>
</cp:coreProperties>
</file>