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917059" wp14:paraId="52086C73" wp14:textId="5C9A41F7">
      <w:pPr>
        <w:pStyle w:val="Heading1"/>
        <w:spacing w:before="0" w:beforeAutospacing="off" w:after="322" w:afterAutospacing="off"/>
      </w:pPr>
      <w:r w:rsidRPr="0A917059" w:rsidR="4E4A8EED">
        <w:rPr>
          <w:rFonts w:ascii="Aptos" w:hAnsi="Aptos" w:eastAsia="Aptos" w:cs="Aptos"/>
          <w:b w:val="1"/>
          <w:bCs w:val="1"/>
          <w:noProof w:val="0"/>
          <w:sz w:val="48"/>
          <w:szCs w:val="48"/>
          <w:lang w:val="en-US"/>
        </w:rPr>
        <w:t>POLICY REVIEW &amp; COMPLIANCE FRAMEWORK ANALYSIS FOR E-GOVERNANCE DIGITAL SERVICES</w:t>
      </w:r>
    </w:p>
    <w:p xmlns:wp14="http://schemas.microsoft.com/office/word/2010/wordml" w:rsidP="0A917059" wp14:paraId="1FD34D32" wp14:textId="7E1F955B">
      <w:pPr>
        <w:spacing w:before="0" w:beforeAutospacing="off" w:after="240" w:afterAutospacing="off"/>
      </w:pPr>
      <w:r w:rsidRPr="0A917059" w:rsidR="4E4A8EED">
        <w:rPr>
          <w:rFonts w:ascii="Aptos" w:hAnsi="Aptos" w:eastAsia="Aptos" w:cs="Aptos"/>
          <w:b w:val="1"/>
          <w:bCs w:val="1"/>
          <w:noProof w:val="0"/>
          <w:sz w:val="24"/>
          <w:szCs w:val="24"/>
          <w:lang w:val="en-US"/>
        </w:rPr>
        <w:t>Week 2 – E-Governance &amp; Digital Services</w:t>
      </w:r>
    </w:p>
    <w:p xmlns:wp14="http://schemas.microsoft.com/office/word/2010/wordml" w:rsidP="0A917059" wp14:paraId="3117AA11" wp14:textId="3A49A6CA">
      <w:pPr>
        <w:spacing w:before="0" w:beforeAutospacing="off" w:after="240" w:afterAutospacing="off"/>
      </w:pPr>
      <w:r w:rsidRPr="0A917059" w:rsidR="4E4A8EED">
        <w:rPr>
          <w:rFonts w:ascii="Aptos" w:hAnsi="Aptos" w:eastAsia="Aptos" w:cs="Aptos"/>
          <w:b w:val="1"/>
          <w:bCs w:val="1"/>
          <w:noProof w:val="0"/>
          <w:sz w:val="24"/>
          <w:szCs w:val="24"/>
          <w:lang w:val="en-US"/>
        </w:rPr>
        <w:t>Program:</w:t>
      </w:r>
      <w:r w:rsidRPr="0A917059" w:rsidR="4E4A8EED">
        <w:rPr>
          <w:rFonts w:ascii="Aptos" w:hAnsi="Aptos" w:eastAsia="Aptos" w:cs="Aptos"/>
          <w:noProof w:val="0"/>
          <w:sz w:val="24"/>
          <w:szCs w:val="24"/>
          <w:lang w:val="en-US"/>
        </w:rPr>
        <w:t xml:space="preserve"> YuvaIntern – Cyber Security Analyst: E-Governance &amp; Digital Services</w:t>
      </w:r>
    </w:p>
    <w:p xmlns:wp14="http://schemas.microsoft.com/office/word/2010/wordml" w:rsidP="0A917059" wp14:paraId="6C977AA5" wp14:textId="6CD8985C">
      <w:pPr>
        <w:spacing w:before="0" w:beforeAutospacing="off" w:after="240" w:afterAutospacing="off"/>
      </w:pPr>
      <w:r w:rsidRPr="0A917059" w:rsidR="4E4A8EED">
        <w:rPr>
          <w:rFonts w:ascii="Aptos" w:hAnsi="Aptos" w:eastAsia="Aptos" w:cs="Aptos"/>
          <w:b w:val="1"/>
          <w:bCs w:val="1"/>
          <w:noProof w:val="0"/>
          <w:sz w:val="24"/>
          <w:szCs w:val="24"/>
          <w:lang w:val="en-US"/>
        </w:rPr>
        <w:t>Intern Name:</w:t>
      </w:r>
      <w:r w:rsidRPr="0A917059" w:rsidR="4E4A8EED">
        <w:rPr>
          <w:rFonts w:ascii="Aptos" w:hAnsi="Aptos" w:eastAsia="Aptos" w:cs="Aptos"/>
          <w:noProof w:val="0"/>
          <w:sz w:val="24"/>
          <w:szCs w:val="24"/>
          <w:lang w:val="en-US"/>
        </w:rPr>
        <w:t xml:space="preserve"> Kamatchi V</w:t>
      </w:r>
    </w:p>
    <w:p xmlns:wp14="http://schemas.microsoft.com/office/word/2010/wordml" w:rsidP="0A917059" wp14:paraId="02A5CDF3" wp14:textId="4FE79478">
      <w:pPr>
        <w:spacing w:before="0" w:beforeAutospacing="off" w:after="240" w:afterAutospacing="off"/>
      </w:pPr>
      <w:r w:rsidRPr="0A917059" w:rsidR="4E4A8EED">
        <w:rPr>
          <w:rFonts w:ascii="Aptos" w:hAnsi="Aptos" w:eastAsia="Aptos" w:cs="Aptos"/>
          <w:b w:val="1"/>
          <w:bCs w:val="1"/>
          <w:noProof w:val="0"/>
          <w:sz w:val="24"/>
          <w:szCs w:val="24"/>
          <w:lang w:val="en-US"/>
        </w:rPr>
        <w:t>Date:</w:t>
      </w:r>
      <w:r w:rsidRPr="0A917059" w:rsidR="4E4A8EED">
        <w:rPr>
          <w:rFonts w:ascii="Aptos" w:hAnsi="Aptos" w:eastAsia="Aptos" w:cs="Aptos"/>
          <w:noProof w:val="0"/>
          <w:sz w:val="24"/>
          <w:szCs w:val="24"/>
          <w:lang w:val="en-US"/>
        </w:rPr>
        <w:t xml:space="preserve"> September 28, 2026</w:t>
      </w:r>
    </w:p>
    <w:p xmlns:wp14="http://schemas.microsoft.com/office/word/2010/wordml" w:rsidP="0A917059" wp14:paraId="74D5CB67" wp14:textId="70E09887">
      <w:pPr>
        <w:pStyle w:val="Heading2"/>
        <w:spacing w:before="0" w:beforeAutospacing="off" w:after="299" w:afterAutospacing="off"/>
      </w:pPr>
      <w:r w:rsidRPr="0A917059" w:rsidR="4E4A8EED">
        <w:rPr>
          <w:rFonts w:ascii="Aptos" w:hAnsi="Aptos" w:eastAsia="Aptos" w:cs="Aptos"/>
          <w:b w:val="1"/>
          <w:bCs w:val="1"/>
          <w:noProof w:val="0"/>
          <w:sz w:val="36"/>
          <w:szCs w:val="36"/>
          <w:lang w:val="en-US"/>
        </w:rPr>
        <w:t>1. Executive Summary</w:t>
      </w:r>
    </w:p>
    <w:p xmlns:wp14="http://schemas.microsoft.com/office/word/2010/wordml" w:rsidP="0A917059" wp14:paraId="4B0F5B14" wp14:textId="555F0626">
      <w:pPr>
        <w:spacing w:before="0" w:beforeAutospacing="off" w:after="240" w:afterAutospacing="off"/>
      </w:pPr>
      <w:r w:rsidRPr="0A917059" w:rsidR="4E4A8EED">
        <w:rPr>
          <w:rFonts w:ascii="Aptos" w:hAnsi="Aptos" w:eastAsia="Aptos" w:cs="Aptos"/>
          <w:noProof w:val="0"/>
          <w:sz w:val="24"/>
          <w:szCs w:val="24"/>
          <w:lang w:val="en-US"/>
        </w:rPr>
        <w:t>The rapid digitalization of public administration has made e-governance platforms indispensable for delivering essential services such as identity verification, taxation, welfare distribution, and public record access. However, as these digital services expand, they face complex cyber threats, data protection challenges, and evolving regulatory demands.</w:t>
      </w:r>
    </w:p>
    <w:p xmlns:wp14="http://schemas.microsoft.com/office/word/2010/wordml" w:rsidP="0A917059" wp14:paraId="0F5755A3" wp14:textId="391BE86E">
      <w:pPr>
        <w:spacing w:before="0" w:beforeAutospacing="off" w:after="240" w:afterAutospacing="off"/>
      </w:pPr>
      <w:r w:rsidRPr="0A917059" w:rsidR="4E4A8EED">
        <w:rPr>
          <w:rFonts w:ascii="Aptos" w:hAnsi="Aptos" w:eastAsia="Aptos" w:cs="Aptos"/>
          <w:noProof w:val="0"/>
          <w:sz w:val="24"/>
          <w:szCs w:val="24"/>
          <w:lang w:val="en-US"/>
        </w:rPr>
        <w:t xml:space="preserve">This document delivers a comprehensive review of existing national and international cybersecurity policy frameworks applicable to digital public infrastructure—specifically focusing on </w:t>
      </w:r>
      <w:r w:rsidRPr="0A917059" w:rsidR="4E4A8EED">
        <w:rPr>
          <w:rFonts w:ascii="Aptos" w:hAnsi="Aptos" w:eastAsia="Aptos" w:cs="Aptos"/>
          <w:b w:val="1"/>
          <w:bCs w:val="1"/>
          <w:noProof w:val="0"/>
          <w:sz w:val="24"/>
          <w:szCs w:val="24"/>
          <w:lang w:val="en-US"/>
        </w:rPr>
        <w:t>MeitY Guidelines, CERT-In Cyber Crisis Management Plan (CCMP), ISO/IEC 27001:2022, NIST SP 800-53 Rev. 5, and the Digital Personal Data Protection (DPDP) Act</w:t>
      </w:r>
      <w:r w:rsidRPr="0A917059" w:rsidR="4E4A8EED">
        <w:rPr>
          <w:rFonts w:ascii="Aptos" w:hAnsi="Aptos" w:eastAsia="Aptos" w:cs="Aptos"/>
          <w:noProof w:val="0"/>
          <w:sz w:val="24"/>
          <w:szCs w:val="24"/>
          <w:lang w:val="en-US"/>
        </w:rPr>
        <w:t>.</w:t>
      </w:r>
    </w:p>
    <w:p xmlns:wp14="http://schemas.microsoft.com/office/word/2010/wordml" w:rsidP="0A917059" wp14:paraId="18CACAA4" wp14:textId="24747BA2">
      <w:pPr>
        <w:spacing w:before="0" w:beforeAutospacing="off" w:after="240" w:afterAutospacing="off"/>
      </w:pPr>
      <w:r w:rsidRPr="0A917059" w:rsidR="4E4A8EED">
        <w:rPr>
          <w:rFonts w:ascii="Aptos" w:hAnsi="Aptos" w:eastAsia="Aptos" w:cs="Aptos"/>
          <w:noProof w:val="0"/>
          <w:sz w:val="24"/>
          <w:szCs w:val="24"/>
          <w:lang w:val="en-US"/>
        </w:rPr>
        <w:t xml:space="preserve">Through a structured gap analysis, this report identifies key regulatory and operational deficiencies in current government digital policies, including insufficient API governance, delayed incident reporting, inadequate supply chain risk management, and weak data protection compliance. To address these gaps, a revised </w:t>
      </w:r>
      <w:r w:rsidRPr="0A917059" w:rsidR="4E4A8EED">
        <w:rPr>
          <w:rFonts w:ascii="Aptos" w:hAnsi="Aptos" w:eastAsia="Aptos" w:cs="Aptos"/>
          <w:b w:val="1"/>
          <w:bCs w:val="1"/>
          <w:noProof w:val="0"/>
          <w:sz w:val="24"/>
          <w:szCs w:val="24"/>
          <w:lang w:val="en-US"/>
        </w:rPr>
        <w:t>E-Governance Compliance &amp; Governance Framework (E-GCGF)</w:t>
      </w:r>
      <w:r w:rsidRPr="0A917059" w:rsidR="4E4A8EED">
        <w:rPr>
          <w:rFonts w:ascii="Aptos" w:hAnsi="Aptos" w:eastAsia="Aptos" w:cs="Aptos"/>
          <w:noProof w:val="0"/>
          <w:sz w:val="24"/>
          <w:szCs w:val="24"/>
          <w:lang w:val="en-US"/>
        </w:rPr>
        <w:t xml:space="preserve"> is proposed, incorporating an actionable implementation roadmap to ensure systemic resilience, regulatory compliance, and sustained citizen trust.</w:t>
      </w:r>
    </w:p>
    <w:p xmlns:wp14="http://schemas.microsoft.com/office/word/2010/wordml" w:rsidP="0A917059" wp14:paraId="39B2AE85" wp14:textId="2AF09157">
      <w:pPr>
        <w:pStyle w:val="Heading2"/>
        <w:spacing w:before="0" w:beforeAutospacing="off" w:after="299" w:afterAutospacing="off"/>
      </w:pPr>
      <w:r w:rsidRPr="0A917059" w:rsidR="4E4A8EED">
        <w:rPr>
          <w:rFonts w:ascii="Aptos" w:hAnsi="Aptos" w:eastAsia="Aptos" w:cs="Aptos"/>
          <w:b w:val="1"/>
          <w:bCs w:val="1"/>
          <w:noProof w:val="0"/>
          <w:sz w:val="36"/>
          <w:szCs w:val="36"/>
          <w:lang w:val="en-US"/>
        </w:rPr>
        <w:t>2. Introduction &amp; Background</w:t>
      </w:r>
    </w:p>
    <w:p xmlns:wp14="http://schemas.microsoft.com/office/word/2010/wordml" w:rsidP="0A917059" wp14:paraId="4966C3CA" wp14:textId="7E5F5EB0">
      <w:pPr>
        <w:spacing w:before="0" w:beforeAutospacing="off" w:after="240" w:afterAutospacing="off"/>
      </w:pPr>
      <w:r w:rsidRPr="0A917059" w:rsidR="4E4A8EED">
        <w:rPr>
          <w:rFonts w:ascii="Aptos" w:hAnsi="Aptos" w:eastAsia="Aptos" w:cs="Aptos"/>
          <w:noProof w:val="0"/>
          <w:sz w:val="24"/>
          <w:szCs w:val="24"/>
          <w:lang w:val="en-US"/>
        </w:rPr>
        <w:t>Public sector digital service platforms handle immense volumes of sensitive citizen data, financial records, and operational infrastructure. Unlike private enterprise portals, a security failure in an e-governance platform directly impacts national security, public trust, and essential civic operations.</w:t>
      </w:r>
    </w:p>
    <w:p xmlns:wp14="http://schemas.microsoft.com/office/word/2010/wordml" w:rsidP="0A917059" wp14:paraId="3F05B932" wp14:textId="34C477DE">
      <w:pPr>
        <w:spacing w:before="0" w:beforeAutospacing="off" w:after="240" w:afterAutospacing="off"/>
      </w:pPr>
      <w:r w:rsidRPr="0A917059" w:rsidR="4E4A8EED">
        <w:rPr>
          <w:rFonts w:ascii="Aptos" w:hAnsi="Aptos" w:eastAsia="Aptos" w:cs="Aptos"/>
          <w:noProof w:val="0"/>
          <w:sz w:val="24"/>
          <w:szCs w:val="24"/>
          <w:lang w:val="en-US"/>
        </w:rPr>
        <w:t>While regulatory bodies have established foundational cybersecurity standards, many public digital systems struggle with policy implementation gaps, fragmented compliance monitoring, and legacy architecture vulnerabilities. To build a resilient digital governance ecosystem, cybersecurity policies must evolve from passive compliance checklists into dynamic, continuously audited operational controls.</w:t>
      </w:r>
    </w:p>
    <w:p xmlns:wp14="http://schemas.microsoft.com/office/word/2010/wordml" w:rsidP="0A917059" wp14:paraId="5AAC9E4B" wp14:textId="39698952">
      <w:pPr>
        <w:spacing w:before="0" w:beforeAutospacing="off" w:after="240" w:afterAutospacing="off"/>
      </w:pPr>
      <w:r w:rsidRPr="0A917059" w:rsidR="4E4A8EED">
        <w:rPr>
          <w:rFonts w:ascii="Aptos" w:hAnsi="Aptos" w:eastAsia="Aptos" w:cs="Aptos"/>
          <w:noProof w:val="0"/>
          <w:sz w:val="24"/>
          <w:szCs w:val="24"/>
          <w:lang w:val="en-US"/>
        </w:rPr>
        <w:t>This report systematically evaluates the regulatory landscape governing e-governance digital services, highlights critical security and policy gaps, and details a modern compliance framework designed for digital public platforms.</w:t>
      </w:r>
    </w:p>
    <w:p xmlns:wp14="http://schemas.microsoft.com/office/word/2010/wordml" w:rsidP="0A917059" wp14:paraId="3947F8F7" wp14:textId="67ED2561">
      <w:pPr>
        <w:pStyle w:val="Heading2"/>
        <w:spacing w:before="0" w:beforeAutospacing="off" w:after="299" w:afterAutospacing="off"/>
      </w:pPr>
      <w:r w:rsidRPr="0A917059" w:rsidR="4E4A8EED">
        <w:rPr>
          <w:rFonts w:ascii="Aptos" w:hAnsi="Aptos" w:eastAsia="Aptos" w:cs="Aptos"/>
          <w:b w:val="1"/>
          <w:bCs w:val="1"/>
          <w:noProof w:val="0"/>
          <w:sz w:val="36"/>
          <w:szCs w:val="36"/>
          <w:lang w:val="en-US"/>
        </w:rPr>
        <w:t>3. Review of Existing Regulatory Frameworks &amp; Standards</w:t>
      </w:r>
    </w:p>
    <w:p xmlns:wp14="http://schemas.microsoft.com/office/word/2010/wordml" w:rsidP="0A917059" wp14:paraId="2F71EA17" wp14:textId="24265CF6">
      <w:pPr>
        <w:pStyle w:val="Heading3"/>
        <w:spacing w:before="0" w:beforeAutospacing="off" w:after="281" w:afterAutospacing="off"/>
      </w:pPr>
      <w:r w:rsidRPr="0A917059" w:rsidR="4E4A8EED">
        <w:rPr>
          <w:rFonts w:ascii="Aptos" w:hAnsi="Aptos" w:eastAsia="Aptos" w:cs="Aptos"/>
          <w:b w:val="1"/>
          <w:bCs w:val="1"/>
          <w:noProof w:val="0"/>
          <w:sz w:val="28"/>
          <w:szCs w:val="28"/>
          <w:lang w:val="en-US"/>
        </w:rPr>
        <w:t>3.1 National Frameworks (India)</w:t>
      </w:r>
    </w:p>
    <w:p xmlns:wp14="http://schemas.microsoft.com/office/word/2010/wordml" w:rsidP="0A917059" wp14:paraId="43B6C31F" wp14:textId="5DCDFB40">
      <w:pPr>
        <w:pStyle w:val="ListParagraph"/>
        <w:numPr>
          <w:ilvl w:val="0"/>
          <w:numId w:val="1"/>
        </w:numPr>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b w:val="1"/>
          <w:bCs w:val="1"/>
          <w:noProof w:val="0"/>
          <w:sz w:val="24"/>
          <w:szCs w:val="24"/>
          <w:lang w:val="en-US"/>
        </w:rPr>
        <w:t>CERT-In Cyber Crisis Management Plan (CCMP):</w:t>
      </w:r>
      <w:r w:rsidRPr="0A917059" w:rsidR="4E4A8EED">
        <w:rPr>
          <w:rFonts w:ascii="Aptos" w:hAnsi="Aptos" w:eastAsia="Aptos" w:cs="Aptos"/>
          <w:noProof w:val="0"/>
          <w:sz w:val="24"/>
          <w:szCs w:val="24"/>
          <w:lang w:val="en-US"/>
        </w:rPr>
        <w:t xml:space="preserve"> Outlines mandatory procedures for public sector entities to prevent, contain, and respond to cyber crises. Mandates 6-hour breach reporting windows and periodic audits.</w:t>
      </w:r>
    </w:p>
    <w:p xmlns:wp14="http://schemas.microsoft.com/office/word/2010/wordml" w:rsidP="0A917059" wp14:paraId="5C868589" wp14:textId="5899281A">
      <w:pPr>
        <w:pStyle w:val="ListParagraph"/>
        <w:numPr>
          <w:ilvl w:val="0"/>
          <w:numId w:val="1"/>
        </w:numPr>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b w:val="1"/>
          <w:bCs w:val="1"/>
          <w:noProof w:val="0"/>
          <w:sz w:val="24"/>
          <w:szCs w:val="24"/>
          <w:lang w:val="en-US"/>
        </w:rPr>
        <w:t>MeitY Guidelines for Government Websites &amp; Portals (GIGW 3.0):</w:t>
      </w:r>
      <w:r w:rsidRPr="0A917059" w:rsidR="4E4A8EED">
        <w:rPr>
          <w:rFonts w:ascii="Aptos" w:hAnsi="Aptos" w:eastAsia="Aptos" w:cs="Aptos"/>
          <w:noProof w:val="0"/>
          <w:sz w:val="24"/>
          <w:szCs w:val="24"/>
          <w:lang w:val="en-US"/>
        </w:rPr>
        <w:t xml:space="preserve"> Defines standards for accessibility, usability, mobile responsiveness, and foundational application security for public-facing portals.</w:t>
      </w:r>
    </w:p>
    <w:p xmlns:wp14="http://schemas.microsoft.com/office/word/2010/wordml" w:rsidP="0A917059" wp14:paraId="350FEA02" wp14:textId="1299163B">
      <w:pPr>
        <w:pStyle w:val="ListParagraph"/>
        <w:numPr>
          <w:ilvl w:val="0"/>
          <w:numId w:val="1"/>
        </w:numPr>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b w:val="1"/>
          <w:bCs w:val="1"/>
          <w:noProof w:val="0"/>
          <w:sz w:val="24"/>
          <w:szCs w:val="24"/>
          <w:lang w:val="en-US"/>
        </w:rPr>
        <w:t>Digital Personal Data Protection (DPDP) Act 2023:</w:t>
      </w:r>
      <w:r w:rsidRPr="0A917059" w:rsidR="4E4A8EED">
        <w:rPr>
          <w:rFonts w:ascii="Aptos" w:hAnsi="Aptos" w:eastAsia="Aptos" w:cs="Aptos"/>
          <w:noProof w:val="0"/>
          <w:sz w:val="24"/>
          <w:szCs w:val="24"/>
          <w:lang w:val="en-US"/>
        </w:rPr>
        <w:t xml:space="preserve"> Establishes legal mandates for processing citizen data, requiring explicit consent, purpose limitation, robust data minimization, and strict penalty structures for non-compliance.</w:t>
      </w:r>
    </w:p>
    <w:p xmlns:wp14="http://schemas.microsoft.com/office/word/2010/wordml" w:rsidP="0A917059" wp14:paraId="285F0EF7" wp14:textId="505B192D">
      <w:pPr>
        <w:pStyle w:val="Heading3"/>
        <w:spacing w:before="0" w:beforeAutospacing="off" w:after="281" w:afterAutospacing="off"/>
      </w:pPr>
      <w:r w:rsidRPr="0A917059" w:rsidR="4E4A8EED">
        <w:rPr>
          <w:rFonts w:ascii="Aptos" w:hAnsi="Aptos" w:eastAsia="Aptos" w:cs="Aptos"/>
          <w:b w:val="1"/>
          <w:bCs w:val="1"/>
          <w:noProof w:val="0"/>
          <w:sz w:val="28"/>
          <w:szCs w:val="28"/>
          <w:lang w:val="en-US"/>
        </w:rPr>
        <w:t>3.2 International Standards</w:t>
      </w:r>
    </w:p>
    <w:p xmlns:wp14="http://schemas.microsoft.com/office/word/2010/wordml" w:rsidP="0A917059" wp14:paraId="6AE43EED" wp14:textId="2CFAB6D5">
      <w:pPr>
        <w:pStyle w:val="ListParagraph"/>
        <w:numPr>
          <w:ilvl w:val="0"/>
          <w:numId w:val="2"/>
        </w:numPr>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b w:val="1"/>
          <w:bCs w:val="1"/>
          <w:noProof w:val="0"/>
          <w:sz w:val="24"/>
          <w:szCs w:val="24"/>
          <w:lang w:val="en-US"/>
        </w:rPr>
        <w:t>ISO/IEC 27001:2022 (Information Security Management System):</w:t>
      </w:r>
      <w:r w:rsidRPr="0A917059" w:rsidR="4E4A8EED">
        <w:rPr>
          <w:rFonts w:ascii="Aptos" w:hAnsi="Aptos" w:eastAsia="Aptos" w:cs="Aptos"/>
          <w:noProof w:val="0"/>
          <w:sz w:val="24"/>
          <w:szCs w:val="24"/>
          <w:lang w:val="en-US"/>
        </w:rPr>
        <w:t xml:space="preserve"> Provides a structured organizational risk management framework covering access control, cryptography, operational security, and physical safeguards.</w:t>
      </w:r>
    </w:p>
    <w:p xmlns:wp14="http://schemas.microsoft.com/office/word/2010/wordml" w:rsidP="0A917059" wp14:paraId="1D56922E" wp14:textId="63BACA65">
      <w:pPr>
        <w:pStyle w:val="ListParagraph"/>
        <w:numPr>
          <w:ilvl w:val="0"/>
          <w:numId w:val="2"/>
        </w:numPr>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b w:val="1"/>
          <w:bCs w:val="1"/>
          <w:noProof w:val="0"/>
          <w:sz w:val="24"/>
          <w:szCs w:val="24"/>
          <w:lang w:val="en-US"/>
        </w:rPr>
        <w:t>NIST SP 800-53 Rev. 5 (Security and Privacy Controls):</w:t>
      </w:r>
      <w:r w:rsidRPr="0A917059" w:rsidR="4E4A8EED">
        <w:rPr>
          <w:rFonts w:ascii="Aptos" w:hAnsi="Aptos" w:eastAsia="Aptos" w:cs="Aptos"/>
          <w:noProof w:val="0"/>
          <w:sz w:val="24"/>
          <w:szCs w:val="24"/>
          <w:lang w:val="en-US"/>
        </w:rPr>
        <w:t xml:space="preserve"> Offers an extensive catalog of operational, technical, and management controls tailored for high-impact public sector information systems.</w:t>
      </w:r>
    </w:p>
    <w:tbl>
      <w:tblPr>
        <w:tblStyle w:val="TableNormal"/>
        <w:bidiVisual w:val="0"/>
        <w:tblW w:w="0" w:type="auto"/>
        <w:tblLook w:val="06A0" w:firstRow="1" w:lastRow="0" w:firstColumn="1" w:lastColumn="0" w:noHBand="1" w:noVBand="1"/>
      </w:tblPr>
      <w:tblGrid>
        <w:gridCol w:w="1350"/>
        <w:gridCol w:w="1465"/>
        <w:gridCol w:w="3251"/>
        <w:gridCol w:w="3294"/>
      </w:tblGrid>
      <w:tr w:rsidR="0A917059" w:rsidTr="0A917059" w14:paraId="05982F43">
        <w:trPr>
          <w:trHeight w:val="300"/>
        </w:trPr>
        <w:tc>
          <w:tcPr>
            <w:tcW w:w="13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04EAAF3D" w14:textId="6B3844A1">
            <w:pPr>
              <w:spacing w:before="0" w:beforeAutospacing="off" w:after="0" w:afterAutospacing="off"/>
            </w:pPr>
            <w:r w:rsidRPr="0A917059" w:rsidR="0A917059">
              <w:rPr>
                <w:b w:val="1"/>
                <w:bCs w:val="1"/>
              </w:rPr>
              <w:t>Framework / Standard</w:t>
            </w:r>
          </w:p>
        </w:tc>
        <w:tc>
          <w:tcPr>
            <w:tcW w:w="14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55A25F68" w14:textId="6228D572">
            <w:pPr>
              <w:spacing w:before="0" w:beforeAutospacing="off" w:after="0" w:afterAutospacing="off"/>
            </w:pPr>
            <w:r w:rsidRPr="0A917059" w:rsidR="0A917059">
              <w:rPr>
                <w:b w:val="1"/>
                <w:bCs w:val="1"/>
              </w:rPr>
              <w:t>Target Domain</w:t>
            </w:r>
          </w:p>
        </w:tc>
        <w:tc>
          <w:tcPr>
            <w:tcW w:w="32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02AF7DFD" w14:textId="43E8151D">
            <w:pPr>
              <w:spacing w:before="0" w:beforeAutospacing="off" w:after="0" w:afterAutospacing="off"/>
            </w:pPr>
            <w:r w:rsidRPr="0A917059" w:rsidR="0A917059">
              <w:rPr>
                <w:b w:val="1"/>
                <w:bCs w:val="1"/>
              </w:rPr>
              <w:t>Core Focus Areas</w:t>
            </w:r>
          </w:p>
        </w:tc>
        <w:tc>
          <w:tcPr>
            <w:tcW w:w="32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7A76EDA8" w14:textId="21D3A677">
            <w:pPr>
              <w:spacing w:before="0" w:beforeAutospacing="off" w:after="0" w:afterAutospacing="off"/>
            </w:pPr>
            <w:r w:rsidRPr="0A917059" w:rsidR="0A917059">
              <w:rPr>
                <w:b w:val="1"/>
                <w:bCs w:val="1"/>
              </w:rPr>
              <w:t>E-Governance Relevance</w:t>
            </w:r>
          </w:p>
        </w:tc>
      </w:tr>
      <w:tr w:rsidR="0A917059" w:rsidTr="0A917059" w14:paraId="535DF158">
        <w:trPr>
          <w:trHeight w:val="300"/>
        </w:trPr>
        <w:tc>
          <w:tcPr>
            <w:tcW w:w="13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4FD79DC5" w14:textId="4AFD2457">
            <w:pPr>
              <w:spacing w:before="0" w:beforeAutospacing="off" w:after="0" w:afterAutospacing="off"/>
            </w:pPr>
            <w:r w:rsidRPr="0A917059" w:rsidR="0A917059">
              <w:rPr>
                <w:b w:val="1"/>
                <w:bCs w:val="1"/>
              </w:rPr>
              <w:t>CERT-In CCMP</w:t>
            </w:r>
          </w:p>
        </w:tc>
        <w:tc>
          <w:tcPr>
            <w:tcW w:w="14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24B04975" w14:textId="314AB295">
            <w:pPr>
              <w:spacing w:before="0" w:beforeAutospacing="off" w:after="0" w:afterAutospacing="off"/>
            </w:pPr>
            <w:r w:rsidR="0A917059">
              <w:rPr/>
              <w:t>Incident Management</w:t>
            </w:r>
          </w:p>
        </w:tc>
        <w:tc>
          <w:tcPr>
            <w:tcW w:w="32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59D3E879" w14:textId="5EBB6C4E">
            <w:pPr>
              <w:spacing w:before="0" w:beforeAutospacing="off" w:after="0" w:afterAutospacing="off"/>
            </w:pPr>
            <w:r w:rsidR="0A917059">
              <w:rPr/>
              <w:t>Incident reporting, breach containment, crisis handling</w:t>
            </w:r>
          </w:p>
        </w:tc>
        <w:tc>
          <w:tcPr>
            <w:tcW w:w="32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5597C80B" w14:textId="4B780E87">
            <w:pPr>
              <w:spacing w:before="0" w:beforeAutospacing="off" w:after="0" w:afterAutospacing="off"/>
            </w:pPr>
            <w:r w:rsidR="0A917059">
              <w:rPr/>
              <w:t>Mandatory for Indian public sector digital services.</w:t>
            </w:r>
          </w:p>
        </w:tc>
      </w:tr>
      <w:tr w:rsidR="0A917059" w:rsidTr="0A917059" w14:paraId="6D239D32">
        <w:trPr>
          <w:trHeight w:val="300"/>
        </w:trPr>
        <w:tc>
          <w:tcPr>
            <w:tcW w:w="13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72FB32B2" w14:textId="1EC3CD03">
            <w:pPr>
              <w:spacing w:before="0" w:beforeAutospacing="off" w:after="0" w:afterAutospacing="off"/>
            </w:pPr>
            <w:r w:rsidRPr="0A917059" w:rsidR="0A917059">
              <w:rPr>
                <w:b w:val="1"/>
                <w:bCs w:val="1"/>
              </w:rPr>
              <w:t>MeitY GIGW 3.0</w:t>
            </w:r>
          </w:p>
        </w:tc>
        <w:tc>
          <w:tcPr>
            <w:tcW w:w="14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4DD46506" w14:textId="7853884F">
            <w:pPr>
              <w:spacing w:before="0" w:beforeAutospacing="off" w:after="0" w:afterAutospacing="off"/>
            </w:pPr>
            <w:r w:rsidR="0A917059">
              <w:rPr/>
              <w:t>Web &amp; Portal Standards</w:t>
            </w:r>
          </w:p>
        </w:tc>
        <w:tc>
          <w:tcPr>
            <w:tcW w:w="32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0A556321" w14:textId="739EDF01">
            <w:pPr>
              <w:spacing w:before="0" w:beforeAutospacing="off" w:after="0" w:afterAutospacing="off"/>
            </w:pPr>
            <w:r w:rsidR="0A917059">
              <w:rPr/>
              <w:t>Security, accessibility, API security, mobile readiness</w:t>
            </w:r>
          </w:p>
        </w:tc>
        <w:tc>
          <w:tcPr>
            <w:tcW w:w="32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071F2A98" w14:textId="3335E12F">
            <w:pPr>
              <w:spacing w:before="0" w:beforeAutospacing="off" w:after="0" w:afterAutospacing="off"/>
            </w:pPr>
            <w:r w:rsidR="0A917059">
              <w:rPr/>
              <w:t>Mandates baseline security for citizen-facing sites.</w:t>
            </w:r>
          </w:p>
        </w:tc>
      </w:tr>
      <w:tr w:rsidR="0A917059" w:rsidTr="0A917059" w14:paraId="05943BB2">
        <w:trPr>
          <w:trHeight w:val="300"/>
        </w:trPr>
        <w:tc>
          <w:tcPr>
            <w:tcW w:w="13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56B4DA87" w14:textId="0CDB1518">
            <w:pPr>
              <w:spacing w:before="0" w:beforeAutospacing="off" w:after="0" w:afterAutospacing="off"/>
            </w:pPr>
            <w:r w:rsidRPr="0A917059" w:rsidR="0A917059">
              <w:rPr>
                <w:b w:val="1"/>
                <w:bCs w:val="1"/>
              </w:rPr>
              <w:t>DPDP Act 2023</w:t>
            </w:r>
          </w:p>
        </w:tc>
        <w:tc>
          <w:tcPr>
            <w:tcW w:w="14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6A9EFB44" w14:textId="62D53977">
            <w:pPr>
              <w:spacing w:before="0" w:beforeAutospacing="off" w:after="0" w:afterAutospacing="off"/>
            </w:pPr>
            <w:r w:rsidR="0A917059">
              <w:rPr/>
              <w:t>Privacy &amp; Data Protection</w:t>
            </w:r>
          </w:p>
        </w:tc>
        <w:tc>
          <w:tcPr>
            <w:tcW w:w="32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41C4F50B" w14:textId="0BFB5C0B">
            <w:pPr>
              <w:spacing w:before="0" w:beforeAutospacing="off" w:after="0" w:afterAutospacing="off"/>
            </w:pPr>
            <w:r w:rsidR="0A917059">
              <w:rPr/>
              <w:t>Citizen consent, data minimization, data breach penalties</w:t>
            </w:r>
          </w:p>
        </w:tc>
        <w:tc>
          <w:tcPr>
            <w:tcW w:w="32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303C7DD9" w14:textId="5C7E325B">
            <w:pPr>
              <w:spacing w:before="0" w:beforeAutospacing="off" w:after="0" w:afterAutospacing="off"/>
            </w:pPr>
            <w:r w:rsidR="0A917059">
              <w:rPr/>
              <w:t>Regulates handling of Citizen PII and database records.</w:t>
            </w:r>
          </w:p>
        </w:tc>
      </w:tr>
      <w:tr w:rsidR="0A917059" w:rsidTr="0A917059" w14:paraId="71B352A0">
        <w:trPr>
          <w:trHeight w:val="300"/>
        </w:trPr>
        <w:tc>
          <w:tcPr>
            <w:tcW w:w="13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01688D83" w14:textId="531A7B92">
            <w:pPr>
              <w:spacing w:before="0" w:beforeAutospacing="off" w:after="0" w:afterAutospacing="off"/>
            </w:pPr>
            <w:r w:rsidRPr="0A917059" w:rsidR="0A917059">
              <w:rPr>
                <w:b w:val="1"/>
                <w:bCs w:val="1"/>
              </w:rPr>
              <w:t>ISO/IEC 27001:2022</w:t>
            </w:r>
          </w:p>
        </w:tc>
        <w:tc>
          <w:tcPr>
            <w:tcW w:w="14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3563D76F" w14:textId="16D6EB2E">
            <w:pPr>
              <w:spacing w:before="0" w:beforeAutospacing="off" w:after="0" w:afterAutospacing="off"/>
            </w:pPr>
            <w:r w:rsidR="0A917059">
              <w:rPr/>
              <w:t>ISMS Certification</w:t>
            </w:r>
          </w:p>
        </w:tc>
        <w:tc>
          <w:tcPr>
            <w:tcW w:w="32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0F620777" w14:textId="29625707">
            <w:pPr>
              <w:spacing w:before="0" w:beforeAutospacing="off" w:after="0" w:afterAutospacing="off"/>
            </w:pPr>
            <w:r w:rsidR="0A917059">
              <w:rPr/>
              <w:t>Risk assessment, asset management, access control</w:t>
            </w:r>
          </w:p>
        </w:tc>
        <w:tc>
          <w:tcPr>
            <w:tcW w:w="32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09C4A52F" w14:textId="7DFC2EC1">
            <w:pPr>
              <w:spacing w:before="0" w:beforeAutospacing="off" w:after="0" w:afterAutospacing="off"/>
            </w:pPr>
            <w:r w:rsidR="0A917059">
              <w:rPr/>
              <w:t>Establishes enterprise security governance.</w:t>
            </w:r>
          </w:p>
        </w:tc>
      </w:tr>
      <w:tr w:rsidR="0A917059" w:rsidTr="0A917059" w14:paraId="547B85F5">
        <w:trPr>
          <w:trHeight w:val="300"/>
        </w:trPr>
        <w:tc>
          <w:tcPr>
            <w:tcW w:w="13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4E589085" w14:textId="64EA787B">
            <w:pPr>
              <w:spacing w:before="0" w:beforeAutospacing="off" w:after="0" w:afterAutospacing="off"/>
            </w:pPr>
            <w:r w:rsidRPr="0A917059" w:rsidR="0A917059">
              <w:rPr>
                <w:b w:val="1"/>
                <w:bCs w:val="1"/>
              </w:rPr>
              <w:t>NIST SP 800-53</w:t>
            </w:r>
          </w:p>
        </w:tc>
        <w:tc>
          <w:tcPr>
            <w:tcW w:w="14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4A302A59" w14:textId="4EACC2C8">
            <w:pPr>
              <w:spacing w:before="0" w:beforeAutospacing="off" w:after="0" w:afterAutospacing="off"/>
            </w:pPr>
            <w:r w:rsidR="0A917059">
              <w:rPr/>
              <w:t>System Security Controls</w:t>
            </w:r>
          </w:p>
        </w:tc>
        <w:tc>
          <w:tcPr>
            <w:tcW w:w="32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57225F8E" w14:textId="1E4774BF">
            <w:pPr>
              <w:spacing w:before="0" w:beforeAutospacing="off" w:after="0" w:afterAutospacing="off"/>
            </w:pPr>
            <w:r w:rsidR="0A917059">
              <w:rPr/>
              <w:t>Defense-in-depth, continuous monitoring, zero trust</w:t>
            </w:r>
          </w:p>
        </w:tc>
        <w:tc>
          <w:tcPr>
            <w:tcW w:w="32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72280574" w14:textId="3517FED2">
            <w:pPr>
              <w:spacing w:before="0" w:beforeAutospacing="off" w:after="0" w:afterAutospacing="off"/>
            </w:pPr>
            <w:r w:rsidR="0A917059">
              <w:rPr/>
              <w:t>Global baseline for government cloud and digital systems.</w:t>
            </w:r>
          </w:p>
        </w:tc>
      </w:tr>
    </w:tbl>
    <w:p xmlns:wp14="http://schemas.microsoft.com/office/word/2010/wordml" w:rsidP="0A917059" wp14:paraId="033DFFAA" wp14:textId="2EA6D504">
      <w:pPr>
        <w:pStyle w:val="Heading2"/>
        <w:bidi w:val="0"/>
        <w:spacing w:before="0" w:beforeAutospacing="off" w:after="299" w:afterAutospacing="off"/>
      </w:pPr>
      <w:r w:rsidRPr="0A917059" w:rsidR="4E4A8EED">
        <w:rPr>
          <w:rFonts w:ascii="Aptos" w:hAnsi="Aptos" w:eastAsia="Aptos" w:cs="Aptos"/>
          <w:b w:val="1"/>
          <w:bCs w:val="1"/>
          <w:noProof w:val="0"/>
          <w:sz w:val="36"/>
          <w:szCs w:val="36"/>
          <w:lang w:val="en-US"/>
        </w:rPr>
        <w:t>4. Policy Gap Analysis in Public Digital Services</w:t>
      </w:r>
    </w:p>
    <w:p xmlns:wp14="http://schemas.microsoft.com/office/word/2010/wordml" w:rsidP="0A917059" wp14:paraId="728DC283" wp14:textId="2AF9B6D4">
      <w:pPr>
        <w:bidi w:val="0"/>
        <w:spacing w:before="0" w:beforeAutospacing="off" w:after="240" w:afterAutospacing="off"/>
      </w:pPr>
      <w:r w:rsidRPr="0A917059" w:rsidR="4E4A8EED">
        <w:rPr>
          <w:rFonts w:ascii="Aptos" w:hAnsi="Aptos" w:eastAsia="Aptos" w:cs="Aptos"/>
          <w:noProof w:val="0"/>
          <w:sz w:val="24"/>
          <w:szCs w:val="24"/>
          <w:lang w:val="en-US"/>
        </w:rPr>
        <w:t>Through a comparative review of existing public sector cybersecurity policies against current threat vectors, four critical policy and regulatory gaps were identified:</w:t>
      </w:r>
    </w:p>
    <w:p xmlns:wp14="http://schemas.microsoft.com/office/word/2010/wordml" w:rsidP="0A917059" wp14:paraId="45D951CC" wp14:textId="1770B2C5">
      <w:pPr>
        <w:bidi w:val="0"/>
        <w:spacing w:before="0" w:beforeAutospacing="off" w:after="0" w:afterAutospacing="off"/>
      </w:pPr>
      <w:r w:rsidRPr="0A917059" w:rsidR="4E4A8EED">
        <w:rPr>
          <w:rFonts w:ascii="Aptos" w:hAnsi="Aptos" w:eastAsia="Aptos" w:cs="Aptos"/>
          <w:noProof w:val="0"/>
          <w:sz w:val="24"/>
          <w:szCs w:val="24"/>
          <w:lang w:val="en-US"/>
        </w:rPr>
        <w:t>Plaintext</w:t>
      </w:r>
    </w:p>
    <w:p xmlns:wp14="http://schemas.microsoft.com/office/word/2010/wordml" w:rsidP="0A917059" wp14:paraId="36BD098C" wp14:textId="34D8B23F">
      <w:pPr>
        <w:bidi w:val="0"/>
        <w:spacing w:before="0" w:beforeAutospacing="off" w:after="0" w:afterAutospacing="off"/>
        <w:rPr>
          <w:rFonts w:ascii="Consolas" w:hAnsi="Consolas" w:eastAsia="Consolas" w:cs="Consolas"/>
          <w:noProof w:val="0"/>
          <w:sz w:val="24"/>
          <w:szCs w:val="24"/>
          <w:lang w:val="en-US"/>
        </w:rPr>
      </w:pPr>
      <w:r w:rsidRPr="0A917059" w:rsidR="4E4A8EED">
        <w:rPr>
          <w:rFonts w:ascii="Consolas" w:hAnsi="Consolas" w:eastAsia="Consolas" w:cs="Consolas"/>
          <w:noProof w:val="0"/>
          <w:sz w:val="24"/>
          <w:szCs w:val="24"/>
          <w:lang w:val="en-US"/>
        </w:rPr>
        <w:t>+-----------------------------------------------------------------------+</w:t>
      </w:r>
      <w:r>
        <w:br/>
      </w:r>
      <w:r w:rsidRPr="0A917059" w:rsidR="4E4A8EED">
        <w:rPr>
          <w:rFonts w:ascii="Consolas" w:hAnsi="Consolas" w:eastAsia="Consolas" w:cs="Consolas"/>
          <w:noProof w:val="0"/>
          <w:sz w:val="24"/>
          <w:szCs w:val="24"/>
          <w:lang w:val="en-US"/>
        </w:rPr>
        <w:t>|                       GAP 1: API &amp; THIRD-PARTY INTEGRATION             |</w:t>
      </w:r>
      <w:r>
        <w:br/>
      </w:r>
      <w:r w:rsidRPr="0A917059" w:rsidR="4E4A8EED">
        <w:rPr>
          <w:rFonts w:ascii="Consolas" w:hAnsi="Consolas" w:eastAsia="Consolas" w:cs="Consolas"/>
          <w:noProof w:val="0"/>
          <w:sz w:val="24"/>
          <w:szCs w:val="24"/>
          <w:lang w:val="en-US"/>
        </w:rPr>
        <w:t>|  (Inadequate policy mandates for REST API authentication &amp; rate-lim)  |</w:t>
      </w:r>
      <w:r>
        <w:br/>
      </w:r>
      <w:r w:rsidRPr="0A917059" w:rsidR="4E4A8EED">
        <w:rPr>
          <w:rFonts w:ascii="Consolas" w:hAnsi="Consolas" w:eastAsia="Consolas" w:cs="Consolas"/>
          <w:noProof w:val="0"/>
          <w:sz w:val="24"/>
          <w:szCs w:val="24"/>
          <w:lang w:val="en-US"/>
        </w:rPr>
        <w:t>+-----------------------------------------------------------------------+</w:t>
      </w:r>
      <w:r>
        <w:br/>
      </w:r>
      <w:r w:rsidRPr="0A917059" w:rsidR="4E4A8EED">
        <w:rPr>
          <w:rFonts w:ascii="Consolas" w:hAnsi="Consolas" w:eastAsia="Consolas" w:cs="Consolas"/>
          <w:noProof w:val="0"/>
          <w:sz w:val="24"/>
          <w:szCs w:val="24"/>
          <w:lang w:val="en-US"/>
        </w:rPr>
        <w:t xml:space="preserve">                                   |</w:t>
      </w:r>
      <w:r>
        <w:br/>
      </w:r>
      <w:r w:rsidRPr="0A917059" w:rsidR="4E4A8EED">
        <w:rPr>
          <w:rFonts w:ascii="Consolas" w:hAnsi="Consolas" w:eastAsia="Consolas" w:cs="Consolas"/>
          <w:noProof w:val="0"/>
          <w:sz w:val="24"/>
          <w:szCs w:val="24"/>
          <w:lang w:val="en-US"/>
        </w:rPr>
        <w:t xml:space="preserve">                                   v</w:t>
      </w:r>
      <w:r>
        <w:br/>
      </w:r>
      <w:r w:rsidRPr="0A917059" w:rsidR="4E4A8EED">
        <w:rPr>
          <w:rFonts w:ascii="Consolas" w:hAnsi="Consolas" w:eastAsia="Consolas" w:cs="Consolas"/>
          <w:noProof w:val="0"/>
          <w:sz w:val="24"/>
          <w:szCs w:val="24"/>
          <w:lang w:val="en-US"/>
        </w:rPr>
        <w:t>+-----------------------------------------------------------------------+</w:t>
      </w:r>
      <w:r>
        <w:br/>
      </w:r>
      <w:r w:rsidRPr="0A917059" w:rsidR="4E4A8EED">
        <w:rPr>
          <w:rFonts w:ascii="Consolas" w:hAnsi="Consolas" w:eastAsia="Consolas" w:cs="Consolas"/>
          <w:noProof w:val="0"/>
          <w:sz w:val="24"/>
          <w:szCs w:val="24"/>
          <w:lang w:val="en-US"/>
        </w:rPr>
        <w:t>|                       GAP 2: SLOW &amp; FRAGMENTED INCIDENT ESCALATION     |</w:t>
      </w:r>
      <w:r>
        <w:br/>
      </w:r>
      <w:r w:rsidRPr="0A917059" w:rsidR="4E4A8EED">
        <w:rPr>
          <w:rFonts w:ascii="Consolas" w:hAnsi="Consolas" w:eastAsia="Consolas" w:cs="Consolas"/>
          <w:noProof w:val="0"/>
          <w:sz w:val="24"/>
          <w:szCs w:val="24"/>
          <w:lang w:val="en-US"/>
        </w:rPr>
        <w:t>|  (Lack of automated logging and real-time SIEM reporting integration) |</w:t>
      </w:r>
      <w:r>
        <w:br/>
      </w:r>
      <w:r w:rsidRPr="0A917059" w:rsidR="4E4A8EED">
        <w:rPr>
          <w:rFonts w:ascii="Consolas" w:hAnsi="Consolas" w:eastAsia="Consolas" w:cs="Consolas"/>
          <w:noProof w:val="0"/>
          <w:sz w:val="24"/>
          <w:szCs w:val="24"/>
          <w:lang w:val="en-US"/>
        </w:rPr>
        <w:t>+-----------------------------------------------------------------------+</w:t>
      </w:r>
      <w:r>
        <w:br/>
      </w:r>
      <w:r w:rsidRPr="0A917059" w:rsidR="4E4A8EED">
        <w:rPr>
          <w:rFonts w:ascii="Consolas" w:hAnsi="Consolas" w:eastAsia="Consolas" w:cs="Consolas"/>
          <w:noProof w:val="0"/>
          <w:sz w:val="24"/>
          <w:szCs w:val="24"/>
          <w:lang w:val="en-US"/>
        </w:rPr>
        <w:t xml:space="preserve">                                   |</w:t>
      </w:r>
      <w:r>
        <w:br/>
      </w:r>
      <w:r w:rsidRPr="0A917059" w:rsidR="4E4A8EED">
        <w:rPr>
          <w:rFonts w:ascii="Consolas" w:hAnsi="Consolas" w:eastAsia="Consolas" w:cs="Consolas"/>
          <w:noProof w:val="0"/>
          <w:sz w:val="24"/>
          <w:szCs w:val="24"/>
          <w:lang w:val="en-US"/>
        </w:rPr>
        <w:t xml:space="preserve">                                   v</w:t>
      </w:r>
      <w:r>
        <w:br/>
      </w:r>
      <w:r w:rsidRPr="0A917059" w:rsidR="4E4A8EED">
        <w:rPr>
          <w:rFonts w:ascii="Consolas" w:hAnsi="Consolas" w:eastAsia="Consolas" w:cs="Consolas"/>
          <w:noProof w:val="0"/>
          <w:sz w:val="24"/>
          <w:szCs w:val="24"/>
          <w:lang w:val="en-US"/>
        </w:rPr>
        <w:t>+-----------------------------------------------------------------------+</w:t>
      </w:r>
      <w:r>
        <w:br/>
      </w:r>
      <w:r w:rsidRPr="0A917059" w:rsidR="4E4A8EED">
        <w:rPr>
          <w:rFonts w:ascii="Consolas" w:hAnsi="Consolas" w:eastAsia="Consolas" w:cs="Consolas"/>
          <w:noProof w:val="0"/>
          <w:sz w:val="24"/>
          <w:szCs w:val="24"/>
          <w:lang w:val="en-US"/>
        </w:rPr>
        <w:t>|                       GAP 3: SUPPLY CHAIN &amp; VENDOR RISK MANAGEMENT    |</w:t>
      </w:r>
      <w:r>
        <w:br/>
      </w:r>
      <w:r w:rsidRPr="0A917059" w:rsidR="4E4A8EED">
        <w:rPr>
          <w:rFonts w:ascii="Consolas" w:hAnsi="Consolas" w:eastAsia="Consolas" w:cs="Consolas"/>
          <w:noProof w:val="0"/>
          <w:sz w:val="24"/>
          <w:szCs w:val="24"/>
          <w:lang w:val="en-US"/>
        </w:rPr>
        <w:t>|  (Weak security audits for outsourced IT contractors and software)   |</w:t>
      </w:r>
      <w:r>
        <w:br/>
      </w:r>
      <w:r w:rsidRPr="0A917059" w:rsidR="4E4A8EED">
        <w:rPr>
          <w:rFonts w:ascii="Consolas" w:hAnsi="Consolas" w:eastAsia="Consolas" w:cs="Consolas"/>
          <w:noProof w:val="0"/>
          <w:sz w:val="24"/>
          <w:szCs w:val="24"/>
          <w:lang w:val="en-US"/>
        </w:rPr>
        <w:t>+-----------------------------------------------------------------------+</w:t>
      </w:r>
      <w:r>
        <w:br/>
      </w:r>
      <w:r w:rsidRPr="0A917059" w:rsidR="4E4A8EED">
        <w:rPr>
          <w:rFonts w:ascii="Consolas" w:hAnsi="Consolas" w:eastAsia="Consolas" w:cs="Consolas"/>
          <w:noProof w:val="0"/>
          <w:sz w:val="24"/>
          <w:szCs w:val="24"/>
          <w:lang w:val="en-US"/>
        </w:rPr>
        <w:t xml:space="preserve">                                   |</w:t>
      </w:r>
      <w:r>
        <w:br/>
      </w:r>
      <w:r w:rsidRPr="0A917059" w:rsidR="4E4A8EED">
        <w:rPr>
          <w:rFonts w:ascii="Consolas" w:hAnsi="Consolas" w:eastAsia="Consolas" w:cs="Consolas"/>
          <w:noProof w:val="0"/>
          <w:sz w:val="24"/>
          <w:szCs w:val="24"/>
          <w:lang w:val="en-US"/>
        </w:rPr>
        <w:t xml:space="preserve">                                   v</w:t>
      </w:r>
      <w:r>
        <w:br/>
      </w:r>
      <w:r w:rsidRPr="0A917059" w:rsidR="4E4A8EED">
        <w:rPr>
          <w:rFonts w:ascii="Consolas" w:hAnsi="Consolas" w:eastAsia="Consolas" w:cs="Consolas"/>
          <w:noProof w:val="0"/>
          <w:sz w:val="24"/>
          <w:szCs w:val="24"/>
          <w:lang w:val="en-US"/>
        </w:rPr>
        <w:t>+-----------------------------------------------------------------------+</w:t>
      </w:r>
      <w:r>
        <w:br/>
      </w:r>
      <w:r w:rsidRPr="0A917059" w:rsidR="4E4A8EED">
        <w:rPr>
          <w:rFonts w:ascii="Consolas" w:hAnsi="Consolas" w:eastAsia="Consolas" w:cs="Consolas"/>
          <w:noProof w:val="0"/>
          <w:sz w:val="24"/>
          <w:szCs w:val="24"/>
          <w:lang w:val="en-US"/>
        </w:rPr>
        <w:t>|                       GAP 4: DATA MINIMIZATION &amp; RETENTION MANDATES   |</w:t>
      </w:r>
      <w:r>
        <w:br/>
      </w:r>
      <w:r w:rsidRPr="0A917059" w:rsidR="4E4A8EED">
        <w:rPr>
          <w:rFonts w:ascii="Consolas" w:hAnsi="Consolas" w:eastAsia="Consolas" w:cs="Consolas"/>
          <w:noProof w:val="0"/>
          <w:sz w:val="24"/>
          <w:szCs w:val="24"/>
          <w:lang w:val="en-US"/>
        </w:rPr>
        <w:t>|  (Indefinite retention of citizen records without lifecycle policy)   |</w:t>
      </w:r>
      <w:r>
        <w:br/>
      </w:r>
      <w:r w:rsidRPr="0A917059" w:rsidR="4E4A8EED">
        <w:rPr>
          <w:rFonts w:ascii="Consolas" w:hAnsi="Consolas" w:eastAsia="Consolas" w:cs="Consolas"/>
          <w:noProof w:val="0"/>
          <w:sz w:val="24"/>
          <w:szCs w:val="24"/>
          <w:lang w:val="en-US"/>
        </w:rPr>
        <w:t>+-----------------------------------------------------------------------+</w:t>
      </w:r>
      <w:r>
        <w:br/>
      </w:r>
    </w:p>
    <w:p xmlns:wp14="http://schemas.microsoft.com/office/word/2010/wordml" w:rsidP="0A917059" wp14:paraId="793A2613" wp14:textId="7542BCD8">
      <w:pPr>
        <w:pStyle w:val="Heading3"/>
        <w:bidi w:val="0"/>
        <w:spacing w:before="0" w:beforeAutospacing="off" w:after="281" w:afterAutospacing="off"/>
      </w:pPr>
      <w:r w:rsidRPr="0A917059" w:rsidR="4E4A8EED">
        <w:rPr>
          <w:rFonts w:ascii="Aptos" w:hAnsi="Aptos" w:eastAsia="Aptos" w:cs="Aptos"/>
          <w:b w:val="1"/>
          <w:bCs w:val="1"/>
          <w:noProof w:val="0"/>
          <w:sz w:val="28"/>
          <w:szCs w:val="28"/>
          <w:lang w:val="en-US"/>
        </w:rPr>
        <w:t>Gap Details:</w:t>
      </w:r>
    </w:p>
    <w:p xmlns:wp14="http://schemas.microsoft.com/office/word/2010/wordml" w:rsidP="0A917059" wp14:paraId="75D0BDB4" wp14:textId="2FAE9183">
      <w:pPr>
        <w:pStyle w:val="ListParagraph"/>
        <w:numPr>
          <w:ilvl w:val="0"/>
          <w:numId w:val="3"/>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b w:val="1"/>
          <w:bCs w:val="1"/>
          <w:noProof w:val="0"/>
          <w:sz w:val="24"/>
          <w:szCs w:val="24"/>
          <w:lang w:val="en-US"/>
        </w:rPr>
        <w:t>API Security &amp; Integration Governance:</w:t>
      </w:r>
      <w:r w:rsidRPr="0A917059" w:rsidR="4E4A8EED">
        <w:rPr>
          <w:rFonts w:ascii="Aptos" w:hAnsi="Aptos" w:eastAsia="Aptos" w:cs="Aptos"/>
          <w:noProof w:val="0"/>
          <w:sz w:val="24"/>
          <w:szCs w:val="24"/>
          <w:lang w:val="en-US"/>
        </w:rPr>
        <w:t xml:space="preserve"> While front-end portals undergo basic security audits, policy guidelines lack strict technical mandates for API rate limiting, OAuth 2.0 token expiration, and Broken Object Level Authorization (BOLA) testing across inter-departmental data exchanges.</w:t>
      </w:r>
    </w:p>
    <w:p xmlns:wp14="http://schemas.microsoft.com/office/word/2010/wordml" w:rsidP="0A917059" wp14:paraId="5FCE7D83" wp14:textId="31220A6D">
      <w:pPr>
        <w:pStyle w:val="ListParagraph"/>
        <w:numPr>
          <w:ilvl w:val="0"/>
          <w:numId w:val="3"/>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b w:val="1"/>
          <w:bCs w:val="1"/>
          <w:noProof w:val="0"/>
          <w:sz w:val="24"/>
          <w:szCs w:val="24"/>
          <w:lang w:val="en-US"/>
        </w:rPr>
        <w:t>Delayed Incident Detection &amp; Reporting:</w:t>
      </w:r>
      <w:r w:rsidRPr="0A917059" w:rsidR="4E4A8EED">
        <w:rPr>
          <w:rFonts w:ascii="Aptos" w:hAnsi="Aptos" w:eastAsia="Aptos" w:cs="Aptos"/>
          <w:noProof w:val="0"/>
          <w:sz w:val="24"/>
          <w:szCs w:val="24"/>
          <w:lang w:val="en-US"/>
        </w:rPr>
        <w:t xml:space="preserve"> Existing guidelines mandate incident disclosure but lack specific technical policies requiring automated SIEM integration with central SOC monitoring, leading to delayed breach detection.</w:t>
      </w:r>
    </w:p>
    <w:p xmlns:wp14="http://schemas.microsoft.com/office/word/2010/wordml" w:rsidP="0A917059" wp14:paraId="08A8EEC2" wp14:textId="7EA26444">
      <w:pPr>
        <w:pStyle w:val="ListParagraph"/>
        <w:numPr>
          <w:ilvl w:val="0"/>
          <w:numId w:val="3"/>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b w:val="1"/>
          <w:bCs w:val="1"/>
          <w:noProof w:val="0"/>
          <w:sz w:val="24"/>
          <w:szCs w:val="24"/>
          <w:lang w:val="en-US"/>
        </w:rPr>
        <w:t>Supply Chain &amp; Vendor Security Deficits:</w:t>
      </w:r>
      <w:r w:rsidRPr="0A917059" w:rsidR="4E4A8EED">
        <w:rPr>
          <w:rFonts w:ascii="Aptos" w:hAnsi="Aptos" w:eastAsia="Aptos" w:cs="Aptos"/>
          <w:noProof w:val="0"/>
          <w:sz w:val="24"/>
          <w:szCs w:val="24"/>
          <w:lang w:val="en-US"/>
        </w:rPr>
        <w:t xml:space="preserve"> E-governance development is frequently outsourced to third-party vendors. Current policies lack mandatory Software Bill of Materials (SBOM) verifications and continuous vendor code reviews.</w:t>
      </w:r>
    </w:p>
    <w:p xmlns:wp14="http://schemas.microsoft.com/office/word/2010/wordml" w:rsidP="0A917059" wp14:paraId="08DA1BC6" wp14:textId="0F178B81">
      <w:pPr>
        <w:pStyle w:val="ListParagraph"/>
        <w:numPr>
          <w:ilvl w:val="0"/>
          <w:numId w:val="3"/>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b w:val="1"/>
          <w:bCs w:val="1"/>
          <w:noProof w:val="0"/>
          <w:sz w:val="24"/>
          <w:szCs w:val="24"/>
          <w:lang w:val="en-US"/>
        </w:rPr>
        <w:t>Data Retention &amp; Privacy Controls:</w:t>
      </w:r>
      <w:r w:rsidRPr="0A917059" w:rsidR="4E4A8EED">
        <w:rPr>
          <w:rFonts w:ascii="Aptos" w:hAnsi="Aptos" w:eastAsia="Aptos" w:cs="Aptos"/>
          <w:noProof w:val="0"/>
          <w:sz w:val="24"/>
          <w:szCs w:val="24"/>
          <w:lang w:val="en-US"/>
        </w:rPr>
        <w:t xml:space="preserve"> Legacy systems retain citizen data indefinitely without automated data purging or anonymization policies, directly conflicting with DPDP Act data minimization requirements.</w:t>
      </w:r>
    </w:p>
    <w:p xmlns:wp14="http://schemas.microsoft.com/office/word/2010/wordml" w:rsidP="0A917059" wp14:paraId="0DC06315" wp14:textId="60F9DEF0">
      <w:pPr>
        <w:pStyle w:val="Heading2"/>
        <w:bidi w:val="0"/>
        <w:spacing w:before="0" w:beforeAutospacing="off" w:after="299" w:afterAutospacing="off"/>
      </w:pPr>
      <w:r w:rsidRPr="0A917059" w:rsidR="4E4A8EED">
        <w:rPr>
          <w:rFonts w:ascii="Aptos" w:hAnsi="Aptos" w:eastAsia="Aptos" w:cs="Aptos"/>
          <w:b w:val="1"/>
          <w:bCs w:val="1"/>
          <w:noProof w:val="0"/>
          <w:sz w:val="36"/>
          <w:szCs w:val="36"/>
          <w:lang w:val="en-US"/>
        </w:rPr>
        <w:t>5. Proposed E-Governance Compliance &amp; Governance Framework (E-GCGF)</w:t>
      </w:r>
    </w:p>
    <w:p xmlns:wp14="http://schemas.microsoft.com/office/word/2010/wordml" w:rsidP="0A917059" wp14:paraId="4BB99A19" wp14:textId="12561810">
      <w:pPr>
        <w:bidi w:val="0"/>
        <w:spacing w:before="0" w:beforeAutospacing="off" w:after="240" w:afterAutospacing="off"/>
      </w:pPr>
      <w:r w:rsidRPr="0A917059" w:rsidR="4E4A8EED">
        <w:rPr>
          <w:rFonts w:ascii="Aptos" w:hAnsi="Aptos" w:eastAsia="Aptos" w:cs="Aptos"/>
          <w:noProof w:val="0"/>
          <w:sz w:val="24"/>
          <w:szCs w:val="24"/>
          <w:lang w:val="en-US"/>
        </w:rPr>
        <w:t xml:space="preserve">To address these regulatory and security gaps, the proposed </w:t>
      </w:r>
      <w:r w:rsidRPr="0A917059" w:rsidR="4E4A8EED">
        <w:rPr>
          <w:rFonts w:ascii="Aptos" w:hAnsi="Aptos" w:eastAsia="Aptos" w:cs="Aptos"/>
          <w:b w:val="1"/>
          <w:bCs w:val="1"/>
          <w:noProof w:val="0"/>
          <w:sz w:val="24"/>
          <w:szCs w:val="24"/>
          <w:lang w:val="en-US"/>
        </w:rPr>
        <w:t>E-Governance Compliance &amp; Governance Framework (E-GCGF)</w:t>
      </w:r>
      <w:r w:rsidRPr="0A917059" w:rsidR="4E4A8EED">
        <w:rPr>
          <w:rFonts w:ascii="Aptos" w:hAnsi="Aptos" w:eastAsia="Aptos" w:cs="Aptos"/>
          <w:noProof w:val="0"/>
          <w:sz w:val="24"/>
          <w:szCs w:val="24"/>
          <w:lang w:val="en-US"/>
        </w:rPr>
        <w:t xml:space="preserve"> structures controls across four operational pillars:</w:t>
      </w:r>
    </w:p>
    <w:p xmlns:wp14="http://schemas.microsoft.com/office/word/2010/wordml" w:rsidP="0A917059" wp14:paraId="4F59A3D4" wp14:textId="71555F38">
      <w:pPr>
        <w:bidi w:val="0"/>
        <w:spacing w:before="0" w:beforeAutospacing="off" w:after="0" w:afterAutospacing="off"/>
      </w:pPr>
      <w:r w:rsidRPr="0A917059" w:rsidR="4E4A8EED">
        <w:rPr>
          <w:rFonts w:ascii="Aptos" w:hAnsi="Aptos" w:eastAsia="Aptos" w:cs="Aptos"/>
          <w:noProof w:val="0"/>
          <w:sz w:val="24"/>
          <w:szCs w:val="24"/>
          <w:lang w:val="en-US"/>
        </w:rPr>
        <w:t>Plaintext</w:t>
      </w:r>
    </w:p>
    <w:p xmlns:wp14="http://schemas.microsoft.com/office/word/2010/wordml" w:rsidP="0A917059" wp14:paraId="726A93ED" wp14:textId="2D176581">
      <w:pPr>
        <w:bidi w:val="0"/>
        <w:spacing w:before="0" w:beforeAutospacing="off" w:after="0" w:afterAutospacing="off"/>
        <w:rPr>
          <w:rFonts w:ascii="Consolas" w:hAnsi="Consolas" w:eastAsia="Consolas" w:cs="Consolas"/>
          <w:noProof w:val="0"/>
          <w:sz w:val="24"/>
          <w:szCs w:val="24"/>
          <w:lang w:val="en-US"/>
        </w:rPr>
      </w:pPr>
      <w:r w:rsidRPr="0A917059" w:rsidR="4E4A8EED">
        <w:rPr>
          <w:rFonts w:ascii="Consolas" w:hAnsi="Consolas" w:eastAsia="Consolas" w:cs="Consolas"/>
          <w:noProof w:val="0"/>
          <w:sz w:val="24"/>
          <w:szCs w:val="24"/>
          <w:lang w:val="en-US"/>
        </w:rPr>
        <w:t>[ Pillar 1: Identity &amp; Access Policy ] ──► [ Pillar 2: Data Protection &amp; Privacy ]</w:t>
      </w:r>
      <w:r>
        <w:br/>
      </w:r>
      <w:r w:rsidRPr="0A917059" w:rsidR="4E4A8EED">
        <w:rPr>
          <w:rFonts w:ascii="Consolas" w:hAnsi="Consolas" w:eastAsia="Consolas" w:cs="Consolas"/>
          <w:noProof w:val="0"/>
          <w:sz w:val="24"/>
          <w:szCs w:val="24"/>
          <w:lang w:val="en-US"/>
        </w:rPr>
        <w:t xml:space="preserve">                   │                                          │</w:t>
      </w:r>
      <w:r>
        <w:br/>
      </w:r>
      <w:r w:rsidRPr="0A917059" w:rsidR="4E4A8EED">
        <w:rPr>
          <w:rFonts w:ascii="Consolas" w:hAnsi="Consolas" w:eastAsia="Consolas" w:cs="Consolas"/>
          <w:noProof w:val="0"/>
          <w:sz w:val="24"/>
          <w:szCs w:val="24"/>
          <w:lang w:val="en-US"/>
        </w:rPr>
        <w:t xml:space="preserve">                   v                                          v</w:t>
      </w:r>
      <w:r>
        <w:br/>
      </w:r>
      <w:r w:rsidRPr="0A917059" w:rsidR="4E4A8EED">
        <w:rPr>
          <w:rFonts w:ascii="Consolas" w:hAnsi="Consolas" w:eastAsia="Consolas" w:cs="Consolas"/>
          <w:noProof w:val="0"/>
          <w:sz w:val="24"/>
          <w:szCs w:val="24"/>
          <w:lang w:val="en-US"/>
        </w:rPr>
        <w:t>[ Pillar 3: Application &amp; API Security ] ──► [ Pillar 4: Continuous Audit &amp; SIEM ]</w:t>
      </w:r>
      <w:r>
        <w:br/>
      </w:r>
    </w:p>
    <w:p xmlns:wp14="http://schemas.microsoft.com/office/word/2010/wordml" w:rsidP="0A917059" wp14:paraId="7D1B0816" wp14:textId="0CBBF47A">
      <w:pPr>
        <w:pStyle w:val="Heading3"/>
        <w:bidi w:val="0"/>
        <w:spacing w:before="0" w:beforeAutospacing="off" w:after="281" w:afterAutospacing="off"/>
      </w:pPr>
      <w:r w:rsidRPr="0A917059" w:rsidR="4E4A8EED">
        <w:rPr>
          <w:rFonts w:ascii="Aptos" w:hAnsi="Aptos" w:eastAsia="Aptos" w:cs="Aptos"/>
          <w:b w:val="1"/>
          <w:bCs w:val="1"/>
          <w:noProof w:val="0"/>
          <w:sz w:val="28"/>
          <w:szCs w:val="28"/>
          <w:lang w:val="en-US"/>
        </w:rPr>
        <w:t>Pillar 1: Identity &amp; Access Management (IAM) Policy</w:t>
      </w:r>
    </w:p>
    <w:p xmlns:wp14="http://schemas.microsoft.com/office/word/2010/wordml" w:rsidP="0A917059" wp14:paraId="26980877" wp14:textId="11771A55">
      <w:pPr>
        <w:pStyle w:val="ListParagraph"/>
        <w:numPr>
          <w:ilvl w:val="0"/>
          <w:numId w:val="4"/>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Mandatory Zero Trust Architecture (NIST SP 800-207) for all administrative portals.</w:t>
      </w:r>
    </w:p>
    <w:p xmlns:wp14="http://schemas.microsoft.com/office/word/2010/wordml" w:rsidP="0A917059" wp14:paraId="4231A13D" wp14:textId="3A4FE197">
      <w:pPr>
        <w:pStyle w:val="ListParagraph"/>
        <w:numPr>
          <w:ilvl w:val="0"/>
          <w:numId w:val="4"/>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Enforced Multi-Factor Authentication (MFA) via hardware tokens or TOTP for internal operators.</w:t>
      </w:r>
    </w:p>
    <w:p xmlns:wp14="http://schemas.microsoft.com/office/word/2010/wordml" w:rsidP="0A917059" wp14:paraId="638E496C" wp14:textId="29EBC0B0">
      <w:pPr>
        <w:pStyle w:val="ListParagraph"/>
        <w:numPr>
          <w:ilvl w:val="0"/>
          <w:numId w:val="4"/>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Automated Role-Based Access Control (RBAC) reviews executed every 30 days.</w:t>
      </w:r>
    </w:p>
    <w:p xmlns:wp14="http://schemas.microsoft.com/office/word/2010/wordml" w:rsidP="0A917059" wp14:paraId="4CB0F300" wp14:textId="7B7F7E28">
      <w:pPr>
        <w:pStyle w:val="Heading3"/>
        <w:bidi w:val="0"/>
        <w:spacing w:before="0" w:beforeAutospacing="off" w:after="281" w:afterAutospacing="off"/>
      </w:pPr>
      <w:r w:rsidRPr="0A917059" w:rsidR="4E4A8EED">
        <w:rPr>
          <w:rFonts w:ascii="Aptos" w:hAnsi="Aptos" w:eastAsia="Aptos" w:cs="Aptos"/>
          <w:b w:val="1"/>
          <w:bCs w:val="1"/>
          <w:noProof w:val="0"/>
          <w:sz w:val="28"/>
          <w:szCs w:val="28"/>
          <w:lang w:val="en-US"/>
        </w:rPr>
        <w:t>Pillar 2: Data Protection &amp; Privacy Compliance Policy</w:t>
      </w:r>
    </w:p>
    <w:p xmlns:wp14="http://schemas.microsoft.com/office/word/2010/wordml" w:rsidP="0A917059" wp14:paraId="33CE1533" wp14:textId="78C0E55D">
      <w:pPr>
        <w:pStyle w:val="ListParagraph"/>
        <w:numPr>
          <w:ilvl w:val="0"/>
          <w:numId w:val="5"/>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Mandatory AES-256 encryption at rest for database repositories and TLS 1.3 for data in transit.</w:t>
      </w:r>
    </w:p>
    <w:p xmlns:wp14="http://schemas.microsoft.com/office/word/2010/wordml" w:rsidP="0A917059" wp14:paraId="7E6E8ED4" wp14:textId="79504258">
      <w:pPr>
        <w:pStyle w:val="ListParagraph"/>
        <w:numPr>
          <w:ilvl w:val="0"/>
          <w:numId w:val="5"/>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Implementation of automated Data Lifecycle Management (DLM) to enforce retention limits and cryptographic data purging under the DPDP Act 2023.</w:t>
      </w:r>
    </w:p>
    <w:p xmlns:wp14="http://schemas.microsoft.com/office/word/2010/wordml" w:rsidP="0A917059" wp14:paraId="2F0FAA39" wp14:textId="4D7EF6F8">
      <w:pPr>
        <w:pStyle w:val="ListParagraph"/>
        <w:numPr>
          <w:ilvl w:val="0"/>
          <w:numId w:val="5"/>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Field-level encryption for sensitive citizen identification numbers and financial records.</w:t>
      </w:r>
    </w:p>
    <w:p xmlns:wp14="http://schemas.microsoft.com/office/word/2010/wordml" w:rsidP="0A917059" wp14:paraId="2677DAFC" wp14:textId="036C0A66">
      <w:pPr>
        <w:pStyle w:val="Heading3"/>
        <w:bidi w:val="0"/>
        <w:spacing w:before="0" w:beforeAutospacing="off" w:after="281" w:afterAutospacing="off"/>
      </w:pPr>
      <w:r w:rsidRPr="0A917059" w:rsidR="4E4A8EED">
        <w:rPr>
          <w:rFonts w:ascii="Aptos" w:hAnsi="Aptos" w:eastAsia="Aptos" w:cs="Aptos"/>
          <w:b w:val="1"/>
          <w:bCs w:val="1"/>
          <w:noProof w:val="0"/>
          <w:sz w:val="28"/>
          <w:szCs w:val="28"/>
          <w:lang w:val="en-US"/>
        </w:rPr>
        <w:t>Pillar 3: Application, API &amp; Supply Chain Security Policy</w:t>
      </w:r>
    </w:p>
    <w:p xmlns:wp14="http://schemas.microsoft.com/office/word/2010/wordml" w:rsidP="0A917059" wp14:paraId="1A8F9BB0" wp14:textId="50633893">
      <w:pPr>
        <w:pStyle w:val="ListParagraph"/>
        <w:numPr>
          <w:ilvl w:val="0"/>
          <w:numId w:val="6"/>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Integration of Static Application Security Testing (SAST) and Dynamic Application Security Testing (DAST) into CI/CD build pipelines.</w:t>
      </w:r>
    </w:p>
    <w:p xmlns:wp14="http://schemas.microsoft.com/office/word/2010/wordml" w:rsidP="0A917059" wp14:paraId="4AF063B0" wp14:textId="59245F4A">
      <w:pPr>
        <w:pStyle w:val="ListParagraph"/>
        <w:numPr>
          <w:ilvl w:val="0"/>
          <w:numId w:val="6"/>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Mandatory API Security Policy enforcing OAuth 2.0, strict input validation, and rate limiting.</w:t>
      </w:r>
    </w:p>
    <w:p xmlns:wp14="http://schemas.microsoft.com/office/word/2010/wordml" w:rsidP="0A917059" wp14:paraId="29E16FAE" wp14:textId="25CC6068">
      <w:pPr>
        <w:pStyle w:val="ListParagraph"/>
        <w:numPr>
          <w:ilvl w:val="0"/>
          <w:numId w:val="6"/>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Requirement for third-party software vendors to submit a verified Software Bill of Materials (SBOM) prior to deployment.</w:t>
      </w:r>
    </w:p>
    <w:p xmlns:wp14="http://schemas.microsoft.com/office/word/2010/wordml" w:rsidP="0A917059" wp14:paraId="1BC5F4AD" wp14:textId="1A413007">
      <w:pPr>
        <w:pStyle w:val="Heading3"/>
        <w:bidi w:val="0"/>
        <w:spacing w:before="0" w:beforeAutospacing="off" w:after="281" w:afterAutospacing="off"/>
      </w:pPr>
      <w:r w:rsidRPr="0A917059" w:rsidR="4E4A8EED">
        <w:rPr>
          <w:rFonts w:ascii="Aptos" w:hAnsi="Aptos" w:eastAsia="Aptos" w:cs="Aptos"/>
          <w:b w:val="1"/>
          <w:bCs w:val="1"/>
          <w:noProof w:val="0"/>
          <w:sz w:val="28"/>
          <w:szCs w:val="28"/>
          <w:lang w:val="en-US"/>
        </w:rPr>
        <w:t>Pillar 4: Continuous Monitoring, Incident Escalation &amp; Audit Policy</w:t>
      </w:r>
    </w:p>
    <w:p xmlns:wp14="http://schemas.microsoft.com/office/word/2010/wordml" w:rsidP="0A917059" wp14:paraId="06CBB59C" wp14:textId="7353FDBD">
      <w:pPr>
        <w:pStyle w:val="ListParagraph"/>
        <w:numPr>
          <w:ilvl w:val="0"/>
          <w:numId w:val="7"/>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Centralized SIEM log aggregation across all portal endpoints, web servers, and databases.</w:t>
      </w:r>
    </w:p>
    <w:p xmlns:wp14="http://schemas.microsoft.com/office/word/2010/wordml" w:rsidP="0A917059" wp14:paraId="62D7521D" wp14:textId="60460044">
      <w:pPr>
        <w:pStyle w:val="ListParagraph"/>
        <w:numPr>
          <w:ilvl w:val="0"/>
          <w:numId w:val="7"/>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Automated real-time breach detection playbooks linked with CERT-In emergency notification protocols.</w:t>
      </w:r>
    </w:p>
    <w:p xmlns:wp14="http://schemas.microsoft.com/office/word/2010/wordml" w:rsidP="0A917059" wp14:paraId="5D44D7D4" wp14:textId="13B747D4">
      <w:pPr>
        <w:pStyle w:val="ListParagraph"/>
        <w:numPr>
          <w:ilvl w:val="0"/>
          <w:numId w:val="7"/>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Bi-annual third-party penetration testing and mandatory quarterly vulnerability assessments.</w:t>
      </w:r>
    </w:p>
    <w:p xmlns:wp14="http://schemas.microsoft.com/office/word/2010/wordml" w:rsidP="0A917059" wp14:paraId="5C3DD0C7" wp14:textId="73C00AF4">
      <w:pPr>
        <w:pStyle w:val="Heading2"/>
        <w:bidi w:val="0"/>
        <w:spacing w:before="0" w:beforeAutospacing="off" w:after="299" w:afterAutospacing="off"/>
      </w:pPr>
      <w:r w:rsidRPr="0A917059" w:rsidR="4E4A8EED">
        <w:rPr>
          <w:rFonts w:ascii="Aptos" w:hAnsi="Aptos" w:eastAsia="Aptos" w:cs="Aptos"/>
          <w:b w:val="1"/>
          <w:bCs w:val="1"/>
          <w:noProof w:val="0"/>
          <w:sz w:val="36"/>
          <w:szCs w:val="36"/>
          <w:lang w:val="en-US"/>
        </w:rPr>
        <w:t>6. Implementation Roadmap &amp; Compliance Strategy</w:t>
      </w:r>
    </w:p>
    <w:tbl>
      <w:tblPr>
        <w:tblStyle w:val="TableNormal"/>
        <w:bidiVisual w:val="0"/>
        <w:tblW w:w="0" w:type="auto"/>
        <w:tblLook w:val="06A0" w:firstRow="1" w:lastRow="0" w:firstColumn="1" w:lastColumn="0" w:noHBand="1" w:noVBand="1"/>
      </w:tblPr>
      <w:tblGrid>
        <w:gridCol w:w="2080"/>
        <w:gridCol w:w="3892"/>
        <w:gridCol w:w="728"/>
        <w:gridCol w:w="2661"/>
      </w:tblGrid>
      <w:tr w:rsidR="0A917059" w:rsidTr="0A917059" w14:paraId="57F4EC2B">
        <w:trPr>
          <w:trHeight w:val="300"/>
        </w:trPr>
        <w:tc>
          <w:tcPr>
            <w:tcW w:w="20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396F4104" w14:textId="56785F4C">
            <w:pPr>
              <w:bidi w:val="0"/>
              <w:spacing w:before="0" w:beforeAutospacing="off" w:after="0" w:afterAutospacing="off"/>
            </w:pPr>
            <w:r w:rsidRPr="0A917059" w:rsidR="0A917059">
              <w:rPr>
                <w:b w:val="1"/>
                <w:bCs w:val="1"/>
              </w:rPr>
              <w:t>Phase</w:t>
            </w:r>
          </w:p>
        </w:tc>
        <w:tc>
          <w:tcPr>
            <w:tcW w:w="389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7D63D82E" w14:textId="3E7C8E86">
            <w:pPr>
              <w:bidi w:val="0"/>
              <w:spacing w:before="0" w:beforeAutospacing="off" w:after="0" w:afterAutospacing="off"/>
            </w:pPr>
            <w:r w:rsidRPr="0A917059" w:rsidR="0A917059">
              <w:rPr>
                <w:b w:val="1"/>
                <w:bCs w:val="1"/>
              </w:rPr>
              <w:t>Milestone / Action Item</w:t>
            </w:r>
          </w:p>
        </w:tc>
        <w:tc>
          <w:tcPr>
            <w:tcW w:w="72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7231634D" w14:textId="115EA001">
            <w:pPr>
              <w:bidi w:val="0"/>
              <w:spacing w:before="0" w:beforeAutospacing="off" w:after="0" w:afterAutospacing="off"/>
            </w:pPr>
            <w:r w:rsidRPr="0A917059" w:rsidR="0A917059">
              <w:rPr>
                <w:b w:val="1"/>
                <w:bCs w:val="1"/>
              </w:rPr>
              <w:t>Timeline</w:t>
            </w:r>
          </w:p>
        </w:tc>
        <w:tc>
          <w:tcPr>
            <w:tcW w:w="266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774F3CFF" w14:textId="58136430">
            <w:pPr>
              <w:bidi w:val="0"/>
              <w:spacing w:before="0" w:beforeAutospacing="off" w:after="0" w:afterAutospacing="off"/>
            </w:pPr>
            <w:r w:rsidRPr="0A917059" w:rsidR="0A917059">
              <w:rPr>
                <w:b w:val="1"/>
                <w:bCs w:val="1"/>
              </w:rPr>
              <w:t>Key Output / Deliverable</w:t>
            </w:r>
          </w:p>
        </w:tc>
      </w:tr>
      <w:tr w:rsidR="0A917059" w:rsidTr="0A917059" w14:paraId="1A186B6E">
        <w:trPr>
          <w:trHeight w:val="300"/>
        </w:trPr>
        <w:tc>
          <w:tcPr>
            <w:tcW w:w="20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350F2ABD" w14:textId="500EAD48">
            <w:pPr>
              <w:bidi w:val="0"/>
              <w:spacing w:before="0" w:beforeAutospacing="off" w:after="0" w:afterAutospacing="off"/>
            </w:pPr>
            <w:r w:rsidRPr="0A917059" w:rsidR="0A917059">
              <w:rPr>
                <w:b w:val="1"/>
                <w:bCs w:val="1"/>
              </w:rPr>
              <w:t>Phase 1: Baseline Assessment</w:t>
            </w:r>
          </w:p>
        </w:tc>
        <w:tc>
          <w:tcPr>
            <w:tcW w:w="389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490FE707" w14:textId="797622BF">
            <w:pPr>
              <w:bidi w:val="0"/>
              <w:spacing w:before="0" w:beforeAutospacing="off" w:after="0" w:afterAutospacing="off"/>
            </w:pPr>
            <w:r w:rsidR="0A917059">
              <w:rPr/>
              <w:t>Asset discovery, policy gap analysis, and vulnerability scanning</w:t>
            </w:r>
          </w:p>
        </w:tc>
        <w:tc>
          <w:tcPr>
            <w:tcW w:w="72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43AA7846" w14:textId="64FE2FC7">
            <w:pPr>
              <w:bidi w:val="0"/>
              <w:spacing w:before="0" w:beforeAutospacing="off" w:after="0" w:afterAutospacing="off"/>
            </w:pPr>
            <w:r w:rsidR="0A917059">
              <w:rPr/>
              <w:t>Month 1</w:t>
            </w:r>
          </w:p>
        </w:tc>
        <w:tc>
          <w:tcPr>
            <w:tcW w:w="266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6F75C44A" w14:textId="3DCF1DAD">
            <w:pPr>
              <w:bidi w:val="0"/>
              <w:spacing w:before="0" w:beforeAutospacing="off" w:after="0" w:afterAutospacing="off"/>
            </w:pPr>
            <w:r w:rsidR="0A917059">
              <w:rPr/>
              <w:t>Gap Analysis &amp; Inventory Report</w:t>
            </w:r>
          </w:p>
        </w:tc>
      </w:tr>
      <w:tr w:rsidR="0A917059" w:rsidTr="0A917059" w14:paraId="5896F802">
        <w:trPr>
          <w:trHeight w:val="300"/>
        </w:trPr>
        <w:tc>
          <w:tcPr>
            <w:tcW w:w="20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2EBE17DC" w14:textId="67D392E6">
            <w:pPr>
              <w:bidi w:val="0"/>
              <w:spacing w:before="0" w:beforeAutospacing="off" w:after="0" w:afterAutospacing="off"/>
            </w:pPr>
            <w:r w:rsidRPr="0A917059" w:rsidR="0A917059">
              <w:rPr>
                <w:b w:val="1"/>
                <w:bCs w:val="1"/>
              </w:rPr>
              <w:t>Phase 2: Policy Formulation</w:t>
            </w:r>
          </w:p>
        </w:tc>
        <w:tc>
          <w:tcPr>
            <w:tcW w:w="389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1ED1B09C" w14:textId="0DC35389">
            <w:pPr>
              <w:bidi w:val="0"/>
              <w:spacing w:before="0" w:beforeAutospacing="off" w:after="0" w:afterAutospacing="off"/>
            </w:pPr>
            <w:r w:rsidR="0A917059">
              <w:rPr/>
              <w:t>Draft IAM, API security, and Data Protection policies</w:t>
            </w:r>
          </w:p>
        </w:tc>
        <w:tc>
          <w:tcPr>
            <w:tcW w:w="72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47337479" w14:textId="3BF57FC6">
            <w:pPr>
              <w:bidi w:val="0"/>
              <w:spacing w:before="0" w:beforeAutospacing="off" w:after="0" w:afterAutospacing="off"/>
            </w:pPr>
            <w:r w:rsidR="0A917059">
              <w:rPr/>
              <w:t>Months 2–3</w:t>
            </w:r>
          </w:p>
        </w:tc>
        <w:tc>
          <w:tcPr>
            <w:tcW w:w="266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7CC12419" w14:textId="4116B50C">
            <w:pPr>
              <w:bidi w:val="0"/>
              <w:spacing w:before="0" w:beforeAutospacing="off" w:after="0" w:afterAutospacing="off"/>
            </w:pPr>
            <w:r w:rsidR="0A917059">
              <w:rPr/>
              <w:t>Finalized E-GCGF Policy Manual</w:t>
            </w:r>
          </w:p>
        </w:tc>
      </w:tr>
      <w:tr w:rsidR="0A917059" w:rsidTr="0A917059" w14:paraId="357BF990">
        <w:trPr>
          <w:trHeight w:val="300"/>
        </w:trPr>
        <w:tc>
          <w:tcPr>
            <w:tcW w:w="20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269C846C" w14:textId="4D1F38CA">
            <w:pPr>
              <w:bidi w:val="0"/>
              <w:spacing w:before="0" w:beforeAutospacing="off" w:after="0" w:afterAutospacing="off"/>
            </w:pPr>
            <w:r w:rsidRPr="0A917059" w:rsidR="0A917059">
              <w:rPr>
                <w:b w:val="1"/>
                <w:bCs w:val="1"/>
              </w:rPr>
              <w:t>Phase 3: Technical Deployment</w:t>
            </w:r>
          </w:p>
        </w:tc>
        <w:tc>
          <w:tcPr>
            <w:tcW w:w="389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1E6AADFC" w14:textId="7CBDC763">
            <w:pPr>
              <w:bidi w:val="0"/>
              <w:spacing w:before="0" w:beforeAutospacing="off" w:after="0" w:afterAutospacing="off"/>
            </w:pPr>
            <w:r w:rsidR="0A917059">
              <w:rPr/>
              <w:t>Deploy SIEM, MFA, AES-256 encryption, and API Gateways</w:t>
            </w:r>
          </w:p>
        </w:tc>
        <w:tc>
          <w:tcPr>
            <w:tcW w:w="72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32601A39" w14:textId="5AB5EA0F">
            <w:pPr>
              <w:bidi w:val="0"/>
              <w:spacing w:before="0" w:beforeAutospacing="off" w:after="0" w:afterAutospacing="off"/>
            </w:pPr>
            <w:r w:rsidR="0A917059">
              <w:rPr/>
              <w:t>Months 4–5</w:t>
            </w:r>
          </w:p>
        </w:tc>
        <w:tc>
          <w:tcPr>
            <w:tcW w:w="266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205B4837" w14:textId="7E9EABB6">
            <w:pPr>
              <w:bidi w:val="0"/>
              <w:spacing w:before="0" w:beforeAutospacing="off" w:after="0" w:afterAutospacing="off"/>
            </w:pPr>
            <w:r w:rsidR="0A917059">
              <w:rPr/>
              <w:t>Hardened Infrastructure &amp; Active SIEM</w:t>
            </w:r>
          </w:p>
        </w:tc>
      </w:tr>
      <w:tr w:rsidR="0A917059" w:rsidTr="0A917059" w14:paraId="5FEEC1BD">
        <w:trPr>
          <w:trHeight w:val="300"/>
        </w:trPr>
        <w:tc>
          <w:tcPr>
            <w:tcW w:w="20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6CC443A0" w14:textId="2309EADC">
            <w:pPr>
              <w:bidi w:val="0"/>
              <w:spacing w:before="0" w:beforeAutospacing="off" w:after="0" w:afterAutospacing="off"/>
            </w:pPr>
            <w:r w:rsidRPr="0A917059" w:rsidR="0A917059">
              <w:rPr>
                <w:b w:val="1"/>
                <w:bCs w:val="1"/>
              </w:rPr>
              <w:t>Phase 4: Audit &amp; Certification</w:t>
            </w:r>
          </w:p>
        </w:tc>
        <w:tc>
          <w:tcPr>
            <w:tcW w:w="389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4A2FEAF7" w14:textId="711C5F02">
            <w:pPr>
              <w:bidi w:val="0"/>
              <w:spacing w:before="0" w:beforeAutospacing="off" w:after="0" w:afterAutospacing="off"/>
            </w:pPr>
            <w:r w:rsidR="0A917059">
              <w:rPr/>
              <w:t>Third-party penetration testing and ISO 27001 audit</w:t>
            </w:r>
          </w:p>
        </w:tc>
        <w:tc>
          <w:tcPr>
            <w:tcW w:w="72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70C129F3" w14:textId="1ECE0895">
            <w:pPr>
              <w:bidi w:val="0"/>
              <w:spacing w:before="0" w:beforeAutospacing="off" w:after="0" w:afterAutospacing="off"/>
            </w:pPr>
            <w:r w:rsidR="0A917059">
              <w:rPr/>
              <w:t>Month 6</w:t>
            </w:r>
          </w:p>
        </w:tc>
        <w:tc>
          <w:tcPr>
            <w:tcW w:w="266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917059" w:rsidP="0A917059" w:rsidRDefault="0A917059" w14:paraId="65E9BAE5" w14:textId="7F6C48EB">
            <w:pPr>
              <w:bidi w:val="0"/>
              <w:spacing w:before="0" w:beforeAutospacing="off" w:after="0" w:afterAutospacing="off"/>
            </w:pPr>
            <w:r w:rsidR="0A917059">
              <w:rPr/>
              <w:t>ISO/IEC 27001 &amp; CERT-In Audit Clearance</w:t>
            </w:r>
          </w:p>
        </w:tc>
      </w:tr>
    </w:tbl>
    <w:p xmlns:wp14="http://schemas.microsoft.com/office/word/2010/wordml" w:rsidP="0A917059" wp14:paraId="380FADF2" wp14:textId="210F6F3C">
      <w:pPr>
        <w:pStyle w:val="Heading2"/>
        <w:bidi w:val="0"/>
        <w:spacing w:before="0" w:beforeAutospacing="off" w:after="299" w:afterAutospacing="off"/>
      </w:pPr>
      <w:r w:rsidRPr="0A917059" w:rsidR="4E4A8EED">
        <w:rPr>
          <w:rFonts w:ascii="Aptos" w:hAnsi="Aptos" w:eastAsia="Aptos" w:cs="Aptos"/>
          <w:b w:val="1"/>
          <w:bCs w:val="1"/>
          <w:noProof w:val="0"/>
          <w:sz w:val="36"/>
          <w:szCs w:val="36"/>
          <w:lang w:val="en-US"/>
        </w:rPr>
        <w:t>7. Strategic Recommendations</w:t>
      </w:r>
    </w:p>
    <w:p xmlns:wp14="http://schemas.microsoft.com/office/word/2010/wordml" w:rsidP="0A917059" wp14:paraId="0D417175" wp14:textId="483E93EE">
      <w:pPr>
        <w:pStyle w:val="ListParagraph"/>
        <w:numPr>
          <w:ilvl w:val="0"/>
          <w:numId w:val="8"/>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 xml:space="preserve">Establish a centralized </w:t>
      </w:r>
      <w:r w:rsidRPr="0A917059" w:rsidR="4E4A8EED">
        <w:rPr>
          <w:rFonts w:ascii="Aptos" w:hAnsi="Aptos" w:eastAsia="Aptos" w:cs="Aptos"/>
          <w:b w:val="1"/>
          <w:bCs w:val="1"/>
          <w:noProof w:val="0"/>
          <w:sz w:val="24"/>
          <w:szCs w:val="24"/>
          <w:lang w:val="en-US"/>
        </w:rPr>
        <w:t>Chief Information Security Officer (CISO) Dashboard</w:t>
      </w:r>
      <w:r w:rsidRPr="0A917059" w:rsidR="4E4A8EED">
        <w:rPr>
          <w:rFonts w:ascii="Aptos" w:hAnsi="Aptos" w:eastAsia="Aptos" w:cs="Aptos"/>
          <w:noProof w:val="0"/>
          <w:sz w:val="24"/>
          <w:szCs w:val="24"/>
          <w:lang w:val="en-US"/>
        </w:rPr>
        <w:t xml:space="preserve"> across public departments to monitor real-time policy compliance.</w:t>
      </w:r>
    </w:p>
    <w:p xmlns:wp14="http://schemas.microsoft.com/office/word/2010/wordml" w:rsidP="0A917059" wp14:paraId="4CFCA34B" wp14:textId="58E38777">
      <w:pPr>
        <w:pStyle w:val="ListParagraph"/>
        <w:numPr>
          <w:ilvl w:val="0"/>
          <w:numId w:val="8"/>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 xml:space="preserve">Adopt a </w:t>
      </w:r>
      <w:r w:rsidRPr="0A917059" w:rsidR="4E4A8EED">
        <w:rPr>
          <w:rFonts w:ascii="Aptos" w:hAnsi="Aptos" w:eastAsia="Aptos" w:cs="Aptos"/>
          <w:b w:val="1"/>
          <w:bCs w:val="1"/>
          <w:noProof w:val="0"/>
          <w:sz w:val="24"/>
          <w:szCs w:val="24"/>
          <w:lang w:val="en-US"/>
        </w:rPr>
        <w:t>Zero Trust Network Access (ZTNA)</w:t>
      </w:r>
      <w:r w:rsidRPr="0A917059" w:rsidR="4E4A8EED">
        <w:rPr>
          <w:rFonts w:ascii="Aptos" w:hAnsi="Aptos" w:eastAsia="Aptos" w:cs="Aptos"/>
          <w:noProof w:val="0"/>
          <w:sz w:val="24"/>
          <w:szCs w:val="24"/>
          <w:lang w:val="en-US"/>
        </w:rPr>
        <w:t xml:space="preserve"> model for all administrative and operational networks.</w:t>
      </w:r>
    </w:p>
    <w:p xmlns:wp14="http://schemas.microsoft.com/office/word/2010/wordml" w:rsidP="0A917059" wp14:paraId="4540E2EF" wp14:textId="5C0AA93C">
      <w:pPr>
        <w:pStyle w:val="ListParagraph"/>
        <w:numPr>
          <w:ilvl w:val="0"/>
          <w:numId w:val="8"/>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 xml:space="preserve">Mandate </w:t>
      </w:r>
      <w:r w:rsidRPr="0A917059" w:rsidR="4E4A8EED">
        <w:rPr>
          <w:rFonts w:ascii="Aptos" w:hAnsi="Aptos" w:eastAsia="Aptos" w:cs="Aptos"/>
          <w:b w:val="1"/>
          <w:bCs w:val="1"/>
          <w:noProof w:val="0"/>
          <w:sz w:val="24"/>
          <w:szCs w:val="24"/>
          <w:lang w:val="en-US"/>
        </w:rPr>
        <w:t>Software Bill of Materials (SBOM)</w:t>
      </w:r>
      <w:r w:rsidRPr="0A917059" w:rsidR="4E4A8EED">
        <w:rPr>
          <w:rFonts w:ascii="Aptos" w:hAnsi="Aptos" w:eastAsia="Aptos" w:cs="Aptos"/>
          <w:noProof w:val="0"/>
          <w:sz w:val="24"/>
          <w:szCs w:val="24"/>
          <w:lang w:val="en-US"/>
        </w:rPr>
        <w:t xml:space="preserve"> submission for all third-party vendors and contractors.</w:t>
      </w:r>
    </w:p>
    <w:p xmlns:wp14="http://schemas.microsoft.com/office/word/2010/wordml" w:rsidP="0A917059" wp14:paraId="22F504E5" wp14:textId="24C2B361">
      <w:pPr>
        <w:pStyle w:val="ListParagraph"/>
        <w:numPr>
          <w:ilvl w:val="0"/>
          <w:numId w:val="8"/>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 xml:space="preserve">Integrate </w:t>
      </w:r>
      <w:r w:rsidRPr="0A917059" w:rsidR="4E4A8EED">
        <w:rPr>
          <w:rFonts w:ascii="Aptos" w:hAnsi="Aptos" w:eastAsia="Aptos" w:cs="Aptos"/>
          <w:b w:val="1"/>
          <w:bCs w:val="1"/>
          <w:noProof w:val="0"/>
          <w:sz w:val="24"/>
          <w:szCs w:val="24"/>
          <w:lang w:val="en-US"/>
        </w:rPr>
        <w:t>automated data retention and purging routines</w:t>
      </w:r>
      <w:r w:rsidRPr="0A917059" w:rsidR="4E4A8EED">
        <w:rPr>
          <w:rFonts w:ascii="Aptos" w:hAnsi="Aptos" w:eastAsia="Aptos" w:cs="Aptos"/>
          <w:noProof w:val="0"/>
          <w:sz w:val="24"/>
          <w:szCs w:val="24"/>
          <w:lang w:val="en-US"/>
        </w:rPr>
        <w:t xml:space="preserve"> in compliance with the DPDP Act 2023.</w:t>
      </w:r>
    </w:p>
    <w:p xmlns:wp14="http://schemas.microsoft.com/office/word/2010/wordml" w:rsidP="0A917059" wp14:paraId="7CADF672" wp14:textId="65BC83BE">
      <w:pPr>
        <w:pStyle w:val="ListParagraph"/>
        <w:numPr>
          <w:ilvl w:val="0"/>
          <w:numId w:val="8"/>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 xml:space="preserve">Conduct mandatory, bi-annual </w:t>
      </w:r>
      <w:r w:rsidRPr="0A917059" w:rsidR="4E4A8EED">
        <w:rPr>
          <w:rFonts w:ascii="Aptos" w:hAnsi="Aptos" w:eastAsia="Aptos" w:cs="Aptos"/>
          <w:b w:val="1"/>
          <w:bCs w:val="1"/>
          <w:noProof w:val="0"/>
          <w:sz w:val="24"/>
          <w:szCs w:val="24"/>
          <w:lang w:val="en-US"/>
        </w:rPr>
        <w:t>cyber crisis simulation exercises</w:t>
      </w:r>
      <w:r w:rsidRPr="0A917059" w:rsidR="4E4A8EED">
        <w:rPr>
          <w:rFonts w:ascii="Aptos" w:hAnsi="Aptos" w:eastAsia="Aptos" w:cs="Aptos"/>
          <w:noProof w:val="0"/>
          <w:sz w:val="24"/>
          <w:szCs w:val="24"/>
          <w:lang w:val="en-US"/>
        </w:rPr>
        <w:t xml:space="preserve"> for public IT administrators.</w:t>
      </w:r>
    </w:p>
    <w:p xmlns:wp14="http://schemas.microsoft.com/office/word/2010/wordml" w:rsidP="0A917059" wp14:paraId="158377A8" wp14:textId="2D8C3852">
      <w:pPr>
        <w:pStyle w:val="Heading2"/>
        <w:bidi w:val="0"/>
        <w:spacing w:before="0" w:beforeAutospacing="off" w:after="299" w:afterAutospacing="off"/>
      </w:pPr>
      <w:r w:rsidRPr="0A917059" w:rsidR="4E4A8EED">
        <w:rPr>
          <w:rFonts w:ascii="Aptos" w:hAnsi="Aptos" w:eastAsia="Aptos" w:cs="Aptos"/>
          <w:b w:val="1"/>
          <w:bCs w:val="1"/>
          <w:noProof w:val="0"/>
          <w:sz w:val="36"/>
          <w:szCs w:val="36"/>
          <w:lang w:val="en-US"/>
        </w:rPr>
        <w:t>8. Conclusion</w:t>
      </w:r>
    </w:p>
    <w:p xmlns:wp14="http://schemas.microsoft.com/office/word/2010/wordml" w:rsidP="0A917059" wp14:paraId="04CB3374" wp14:textId="11E33746">
      <w:pPr>
        <w:bidi w:val="0"/>
        <w:spacing w:before="0" w:beforeAutospacing="off" w:after="240" w:afterAutospacing="off"/>
      </w:pPr>
      <w:r w:rsidRPr="0A917059" w:rsidR="4E4A8EED">
        <w:rPr>
          <w:rFonts w:ascii="Aptos" w:hAnsi="Aptos" w:eastAsia="Aptos" w:cs="Aptos"/>
          <w:noProof w:val="0"/>
          <w:sz w:val="24"/>
          <w:szCs w:val="24"/>
          <w:lang w:val="en-US"/>
        </w:rPr>
        <w:t xml:space="preserve">A robust cybersecurity posture for e-governance digital services cannot rely on static guidelines. By transitioning from traditional perimeter defense to a dynamic, Zero Trust-aligned policy framework, public administration platforms can mitigate critical attack vectors, satisfy statutory data protection requirements, and maintain service availability. The proposed </w:t>
      </w:r>
      <w:r w:rsidRPr="0A917059" w:rsidR="4E4A8EED">
        <w:rPr>
          <w:rFonts w:ascii="Aptos" w:hAnsi="Aptos" w:eastAsia="Aptos" w:cs="Aptos"/>
          <w:b w:val="1"/>
          <w:bCs w:val="1"/>
          <w:noProof w:val="0"/>
          <w:sz w:val="24"/>
          <w:szCs w:val="24"/>
          <w:lang w:val="en-US"/>
        </w:rPr>
        <w:t>E-Governance Compliance &amp; Governance Framework (E-GCGF)</w:t>
      </w:r>
      <w:r w:rsidRPr="0A917059" w:rsidR="4E4A8EED">
        <w:rPr>
          <w:rFonts w:ascii="Aptos" w:hAnsi="Aptos" w:eastAsia="Aptos" w:cs="Aptos"/>
          <w:noProof w:val="0"/>
          <w:sz w:val="24"/>
          <w:szCs w:val="24"/>
          <w:lang w:val="en-US"/>
        </w:rPr>
        <w:t xml:space="preserve"> provides a actionable roadmap to elevate e-governance security standards to meet modern threat challenges.</w:t>
      </w:r>
    </w:p>
    <w:p xmlns:wp14="http://schemas.microsoft.com/office/word/2010/wordml" w:rsidP="0A917059" wp14:paraId="10C459DC" wp14:textId="62F58D50">
      <w:pPr>
        <w:pStyle w:val="Heading2"/>
        <w:bidi w:val="0"/>
        <w:spacing w:before="0" w:beforeAutospacing="off" w:after="299" w:afterAutospacing="off"/>
      </w:pPr>
      <w:r w:rsidRPr="0A917059" w:rsidR="4E4A8EED">
        <w:rPr>
          <w:rFonts w:ascii="Aptos" w:hAnsi="Aptos" w:eastAsia="Aptos" w:cs="Aptos"/>
          <w:b w:val="1"/>
          <w:bCs w:val="1"/>
          <w:noProof w:val="0"/>
          <w:sz w:val="36"/>
          <w:szCs w:val="36"/>
          <w:lang w:val="en-US"/>
        </w:rPr>
        <w:t>9. References</w:t>
      </w:r>
    </w:p>
    <w:p xmlns:wp14="http://schemas.microsoft.com/office/word/2010/wordml" w:rsidP="0A917059" wp14:paraId="48BB7101" wp14:textId="0555BC10">
      <w:pPr>
        <w:pStyle w:val="ListParagraph"/>
        <w:numPr>
          <w:ilvl w:val="0"/>
          <w:numId w:val="9"/>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 xml:space="preserve">Ministry of Electronics and Information Technology (MeitY): </w:t>
      </w:r>
      <w:r w:rsidRPr="0A917059" w:rsidR="4E4A8EED">
        <w:rPr>
          <w:rFonts w:ascii="Aptos" w:hAnsi="Aptos" w:eastAsia="Aptos" w:cs="Aptos"/>
          <w:i w:val="1"/>
          <w:iCs w:val="1"/>
          <w:noProof w:val="0"/>
          <w:sz w:val="24"/>
          <w:szCs w:val="24"/>
          <w:lang w:val="en-US"/>
        </w:rPr>
        <w:t>Guidelines for Indian Government Websites (GIGW 3.0)</w:t>
      </w:r>
      <w:r w:rsidRPr="0A917059" w:rsidR="4E4A8EED">
        <w:rPr>
          <w:rFonts w:ascii="Aptos" w:hAnsi="Aptos" w:eastAsia="Aptos" w:cs="Aptos"/>
          <w:noProof w:val="0"/>
          <w:sz w:val="24"/>
          <w:szCs w:val="24"/>
          <w:lang w:val="en-US"/>
        </w:rPr>
        <w:t>.</w:t>
      </w:r>
    </w:p>
    <w:p xmlns:wp14="http://schemas.microsoft.com/office/word/2010/wordml" w:rsidP="0A917059" wp14:paraId="7FE80BAF" wp14:textId="18C05DE7">
      <w:pPr>
        <w:pStyle w:val="ListParagraph"/>
        <w:numPr>
          <w:ilvl w:val="0"/>
          <w:numId w:val="9"/>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 xml:space="preserve">Indian Computer Emergency Response Team (CERT-In): </w:t>
      </w:r>
      <w:r w:rsidRPr="0A917059" w:rsidR="4E4A8EED">
        <w:rPr>
          <w:rFonts w:ascii="Aptos" w:hAnsi="Aptos" w:eastAsia="Aptos" w:cs="Aptos"/>
          <w:i w:val="1"/>
          <w:iCs w:val="1"/>
          <w:noProof w:val="0"/>
          <w:sz w:val="24"/>
          <w:szCs w:val="24"/>
          <w:lang w:val="en-US"/>
        </w:rPr>
        <w:t>Cyber Crisis Management Plan for Government Organizations</w:t>
      </w:r>
      <w:r w:rsidRPr="0A917059" w:rsidR="4E4A8EED">
        <w:rPr>
          <w:rFonts w:ascii="Aptos" w:hAnsi="Aptos" w:eastAsia="Aptos" w:cs="Aptos"/>
          <w:noProof w:val="0"/>
          <w:sz w:val="24"/>
          <w:szCs w:val="24"/>
          <w:lang w:val="en-US"/>
        </w:rPr>
        <w:t>.</w:t>
      </w:r>
    </w:p>
    <w:p xmlns:wp14="http://schemas.microsoft.com/office/word/2010/wordml" w:rsidP="0A917059" wp14:paraId="4227A06C" wp14:textId="328E7824">
      <w:pPr>
        <w:pStyle w:val="ListParagraph"/>
        <w:numPr>
          <w:ilvl w:val="0"/>
          <w:numId w:val="9"/>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 xml:space="preserve">Ministry of Law and Justice (India): </w:t>
      </w:r>
      <w:r w:rsidRPr="0A917059" w:rsidR="4E4A8EED">
        <w:rPr>
          <w:rFonts w:ascii="Aptos" w:hAnsi="Aptos" w:eastAsia="Aptos" w:cs="Aptos"/>
          <w:i w:val="1"/>
          <w:iCs w:val="1"/>
          <w:noProof w:val="0"/>
          <w:sz w:val="24"/>
          <w:szCs w:val="24"/>
          <w:lang w:val="en-US"/>
        </w:rPr>
        <w:t>The Digital Personal Data Protection Act, 2023</w:t>
      </w:r>
      <w:r w:rsidRPr="0A917059" w:rsidR="4E4A8EED">
        <w:rPr>
          <w:rFonts w:ascii="Aptos" w:hAnsi="Aptos" w:eastAsia="Aptos" w:cs="Aptos"/>
          <w:noProof w:val="0"/>
          <w:sz w:val="24"/>
          <w:szCs w:val="24"/>
          <w:lang w:val="en-US"/>
        </w:rPr>
        <w:t>.</w:t>
      </w:r>
    </w:p>
    <w:p xmlns:wp14="http://schemas.microsoft.com/office/word/2010/wordml" w:rsidP="0A917059" wp14:paraId="5683A0F5" wp14:textId="4A018457">
      <w:pPr>
        <w:pStyle w:val="ListParagraph"/>
        <w:numPr>
          <w:ilvl w:val="0"/>
          <w:numId w:val="9"/>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 xml:space="preserve">International Organization for Standardization: </w:t>
      </w:r>
      <w:r w:rsidRPr="0A917059" w:rsidR="4E4A8EED">
        <w:rPr>
          <w:rFonts w:ascii="Aptos" w:hAnsi="Aptos" w:eastAsia="Aptos" w:cs="Aptos"/>
          <w:i w:val="1"/>
          <w:iCs w:val="1"/>
          <w:noProof w:val="0"/>
          <w:sz w:val="24"/>
          <w:szCs w:val="24"/>
          <w:lang w:val="en-US"/>
        </w:rPr>
        <w:t>ISO/IEC 27001:2022 Information Security, Cybersecurity and Privacy Protection</w:t>
      </w:r>
      <w:r w:rsidRPr="0A917059" w:rsidR="4E4A8EED">
        <w:rPr>
          <w:rFonts w:ascii="Aptos" w:hAnsi="Aptos" w:eastAsia="Aptos" w:cs="Aptos"/>
          <w:noProof w:val="0"/>
          <w:sz w:val="24"/>
          <w:szCs w:val="24"/>
          <w:lang w:val="en-US"/>
        </w:rPr>
        <w:t>.</w:t>
      </w:r>
    </w:p>
    <w:p xmlns:wp14="http://schemas.microsoft.com/office/word/2010/wordml" w:rsidP="0A917059" wp14:paraId="7610D411" wp14:textId="5F9C3013">
      <w:pPr>
        <w:pStyle w:val="ListParagraph"/>
        <w:numPr>
          <w:ilvl w:val="0"/>
          <w:numId w:val="9"/>
        </w:numPr>
        <w:bidi w:val="0"/>
        <w:spacing w:before="0" w:beforeAutospacing="off" w:after="240" w:afterAutospacing="off"/>
        <w:rPr>
          <w:rFonts w:ascii="Aptos" w:hAnsi="Aptos" w:eastAsia="Aptos" w:cs="Aptos"/>
          <w:noProof w:val="0"/>
          <w:sz w:val="24"/>
          <w:szCs w:val="24"/>
          <w:lang w:val="en-US"/>
        </w:rPr>
      </w:pPr>
      <w:r w:rsidRPr="0A917059" w:rsidR="4E4A8EED">
        <w:rPr>
          <w:rFonts w:ascii="Aptos" w:hAnsi="Aptos" w:eastAsia="Aptos" w:cs="Aptos"/>
          <w:noProof w:val="0"/>
          <w:sz w:val="24"/>
          <w:szCs w:val="24"/>
          <w:lang w:val="en-US"/>
        </w:rPr>
        <w:t xml:space="preserve">NIST Special Publication 800-53 Revision 5: </w:t>
      </w:r>
      <w:r w:rsidRPr="0A917059" w:rsidR="4E4A8EED">
        <w:rPr>
          <w:rFonts w:ascii="Aptos" w:hAnsi="Aptos" w:eastAsia="Aptos" w:cs="Aptos"/>
          <w:i w:val="1"/>
          <w:iCs w:val="1"/>
          <w:noProof w:val="0"/>
          <w:sz w:val="24"/>
          <w:szCs w:val="24"/>
          <w:lang w:val="en-US"/>
        </w:rPr>
        <w:t>Security and Privacy Controls for Information Systems and Organizations</w:t>
      </w:r>
      <w:r w:rsidRPr="0A917059" w:rsidR="4E4A8EED">
        <w:rPr>
          <w:rFonts w:ascii="Aptos" w:hAnsi="Aptos" w:eastAsia="Aptos" w:cs="Aptos"/>
          <w:noProof w:val="0"/>
          <w:sz w:val="24"/>
          <w:szCs w:val="24"/>
          <w:lang w:val="en-US"/>
        </w:rPr>
        <w:t>.</w:t>
      </w:r>
    </w:p>
    <w:p xmlns:wp14="http://schemas.microsoft.com/office/word/2010/wordml" wp14:paraId="2C078E63" wp14:textId="2A54695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Tcuec5GjOV+2J" int2:id="tJyDGXsM">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9">
    <w:nsid w:val="2b126f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8d567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4f9d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aebe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db51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7fd4a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09bf1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e93f4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7573f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63D5AE"/>
    <w:rsid w:val="0A917059"/>
    <w:rsid w:val="4E4A8EED"/>
    <w:rsid w:val="7C63D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467C8"/>
  <w15:chartTrackingRefBased/>
  <w15:docId w15:val="{63CBE24E-1B6C-466B-8CE8-DD18994338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A91705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A91705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A91705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A91705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f0456162415e4547" /><Relationship Type="http://schemas.openxmlformats.org/officeDocument/2006/relationships/numbering" Target="numbering.xml" Id="Rd6fad1531b994a3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2026-09-28T00:05:02.4334351Z</dcterms:created>
  <dcterms:modified xsi:type="dcterms:W3CDTF">2026-09-28T00:09:33.1702410Z</dcterms:modified>
  <dc:creator>Kamu ....</dc:creator>
  <lastModifiedBy>Kamu ....</lastModifiedBy>
</coreProperties>
</file>