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1660E">
      <w:pPr>
        <w:pStyle w:val="2"/>
        <w:keepNext w:val="0"/>
        <w:keepLines w:val="0"/>
        <w:spacing w:before="0" w:beforeAutospacing="0" w:after="299" w:afterAutospacing="0" w:line="360" w:lineRule="auto"/>
        <w:ind w:right="-288"/>
        <w:jc w:val="both"/>
      </w:pPr>
      <w:r>
        <w:rPr>
          <w:rFonts w:ascii="Aptos" w:hAnsi="Aptos" w:eastAsia="Aptos" w:cs="Aptos"/>
          <w:b/>
          <w:bCs/>
          <w:sz w:val="36"/>
          <w:szCs w:val="36"/>
          <w:lang w:val="en-US"/>
        </w:rPr>
        <w:t>INCIDENT RESPONSE PLAN &amp; CYBER THREAT INTELLIGENCE ANALYSIS FOR E-GOVERNANCE DIGITAL SERVICES</w:t>
      </w:r>
    </w:p>
    <w:p w14:paraId="551B7C31">
      <w:pPr>
        <w:pStyle w:val="3"/>
        <w:keepNext w:val="0"/>
        <w:keepLines w:val="0"/>
        <w:spacing w:before="0" w:beforeAutospacing="0" w:after="281" w:afterAutospacing="0" w:line="360" w:lineRule="auto"/>
        <w:ind w:right="-288"/>
        <w:jc w:val="both"/>
      </w:pPr>
      <w:r>
        <w:rPr>
          <w:rFonts w:ascii="Aptos" w:hAnsi="Aptos" w:eastAsia="Aptos" w:cs="Aptos"/>
          <w:b/>
          <w:bCs/>
          <w:sz w:val="28"/>
          <w:szCs w:val="28"/>
          <w:lang w:val="en-US"/>
        </w:rPr>
        <w:t>Document Control</w:t>
      </w:r>
    </w:p>
    <w:p w14:paraId="66968F8B">
      <w:pPr>
        <w:pStyle w:val="8"/>
        <w:keepNext w:val="0"/>
        <w:keepLines w:val="0"/>
        <w:numPr>
          <w:ilvl w:val="0"/>
          <w:numId w:val="1"/>
        </w:numPr>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Document Title:</w:t>
      </w:r>
      <w:r>
        <w:rPr>
          <w:rFonts w:ascii="Aptos" w:hAnsi="Aptos" w:eastAsia="Aptos" w:cs="Aptos"/>
          <w:sz w:val="24"/>
          <w:szCs w:val="24"/>
          <w:lang w:val="en-US"/>
        </w:rPr>
        <w:t xml:space="preserve"> Incident Response Plan &amp; Cyber Threat Intelligence Framework for E-Governance</w:t>
      </w:r>
    </w:p>
    <w:p w14:paraId="4F648685">
      <w:pPr>
        <w:pStyle w:val="8"/>
        <w:keepNext w:val="0"/>
        <w:keepLines w:val="0"/>
        <w:numPr>
          <w:ilvl w:val="0"/>
          <w:numId w:val="1"/>
        </w:numPr>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Author:</w:t>
      </w:r>
      <w:r>
        <w:rPr>
          <w:rFonts w:ascii="Aptos" w:hAnsi="Aptos" w:eastAsia="Aptos" w:cs="Aptos"/>
          <w:sz w:val="24"/>
          <w:szCs w:val="24"/>
          <w:lang w:val="en-US"/>
        </w:rPr>
        <w:t xml:space="preserve"> Kamatchi Venkatesan</w:t>
      </w:r>
    </w:p>
    <w:p w14:paraId="2DF72364">
      <w:pPr>
        <w:pStyle w:val="8"/>
        <w:keepNext w:val="0"/>
        <w:keepLines w:val="0"/>
        <w:numPr>
          <w:ilvl w:val="0"/>
          <w:numId w:val="1"/>
        </w:numPr>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Target Environment:</w:t>
      </w:r>
      <w:r>
        <w:rPr>
          <w:rFonts w:ascii="Aptos" w:hAnsi="Aptos" w:eastAsia="Aptos" w:cs="Aptos"/>
          <w:sz w:val="24"/>
          <w:szCs w:val="24"/>
          <w:lang w:val="en-US"/>
        </w:rPr>
        <w:t xml:space="preserve"> Public Sector Digital Infrastructure &amp; Citizen Portal Services</w:t>
      </w:r>
    </w:p>
    <w:p w14:paraId="10E342B1">
      <w:pPr>
        <w:pStyle w:val="8"/>
        <w:keepNext w:val="0"/>
        <w:keepLines w:val="0"/>
        <w:numPr>
          <w:ilvl w:val="0"/>
          <w:numId w:val="1"/>
        </w:numPr>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Standard Alignment:</w:t>
      </w:r>
      <w:r>
        <w:rPr>
          <w:rFonts w:ascii="Aptos" w:hAnsi="Aptos" w:eastAsia="Aptos" w:cs="Aptos"/>
          <w:sz w:val="24"/>
          <w:szCs w:val="24"/>
          <w:lang w:val="en-US"/>
        </w:rPr>
        <w:t xml:space="preserve"> NIST SP 800-61 Rev. 2, CERT-In Cyber Crisis Management Plan (CCMP), ISO/IEC 27035</w:t>
      </w:r>
    </w:p>
    <w:p w14:paraId="05A12DAD">
      <w:pPr>
        <w:pStyle w:val="8"/>
        <w:keepNext w:val="0"/>
        <w:keepLines w:val="0"/>
        <w:numPr>
          <w:ilvl w:val="0"/>
          <w:numId w:val="1"/>
        </w:numPr>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Classification:</w:t>
      </w:r>
      <w:r>
        <w:rPr>
          <w:rFonts w:ascii="Aptos" w:hAnsi="Aptos" w:eastAsia="Aptos" w:cs="Aptos"/>
          <w:sz w:val="24"/>
          <w:szCs w:val="24"/>
          <w:lang w:val="en-US"/>
        </w:rPr>
        <w:t xml:space="preserve"> Confidential / Internal Technical Documentation</w:t>
      </w:r>
    </w:p>
    <w:p w14:paraId="133751C8">
      <w:pPr>
        <w:pStyle w:val="3"/>
        <w:keepNext w:val="0"/>
        <w:keepLines w:val="0"/>
        <w:spacing w:before="0" w:beforeAutospacing="0" w:after="281" w:afterAutospacing="0" w:line="360" w:lineRule="auto"/>
        <w:ind w:right="-288"/>
        <w:jc w:val="both"/>
      </w:pPr>
      <w:r>
        <w:rPr>
          <w:rFonts w:ascii="Aptos" w:hAnsi="Aptos" w:eastAsia="Aptos" w:cs="Aptos"/>
          <w:b/>
          <w:bCs/>
          <w:sz w:val="28"/>
          <w:szCs w:val="28"/>
          <w:lang w:val="en-US"/>
        </w:rPr>
        <w:t>Executive Summary</w:t>
      </w:r>
    </w:p>
    <w:p w14:paraId="19FDDD1E">
      <w:pPr>
        <w:keepNext w:val="0"/>
        <w:keepLines w:val="0"/>
        <w:spacing w:before="0" w:beforeAutospacing="0" w:after="240" w:afterAutospacing="0" w:line="360" w:lineRule="auto"/>
        <w:ind w:right="-288"/>
        <w:jc w:val="both"/>
      </w:pPr>
      <w:r>
        <w:rPr>
          <w:rFonts w:ascii="Aptos" w:hAnsi="Aptos" w:eastAsia="Aptos" w:cs="Aptos"/>
          <w:sz w:val="24"/>
          <w:szCs w:val="24"/>
          <w:lang w:val="en-US"/>
        </w:rPr>
        <w:t>E-governance platforms process sensitive Citizen Personally Identifiable Information (PII), manage critical financial transactions (taxation, welfare disbursements), and maintain essential public service operations. Interruptions or security breaches on these platforms compromise national security, public trust, and civic operations.</w:t>
      </w:r>
    </w:p>
    <w:p w14:paraId="794AE581">
      <w:pPr>
        <w:keepNext w:val="0"/>
        <w:keepLines w:val="0"/>
        <w:spacing w:before="0" w:beforeAutospacing="0" w:after="240" w:afterAutospacing="0" w:line="360" w:lineRule="auto"/>
        <w:ind w:right="-288"/>
        <w:jc w:val="both"/>
      </w:pPr>
      <w:r>
        <w:rPr>
          <w:rFonts w:ascii="Aptos" w:hAnsi="Aptos" w:eastAsia="Aptos" w:cs="Aptos"/>
          <w:sz w:val="24"/>
          <w:szCs w:val="24"/>
          <w:lang w:val="en-US"/>
        </w:rPr>
        <w:t xml:space="preserve">This document establishes a structured Incident Response Plan (IRP) integrated with an actionable Cyber Threat Intelligence (CTI) framework tailored for digital public service delivery. It provides step-by-step procedures to detect, contain, eradicate, and </w:t>
      </w:r>
      <w:bookmarkStart w:id="0" w:name="_Int_g8rijE72"/>
      <w:r>
        <w:rPr>
          <w:rFonts w:ascii="Aptos" w:hAnsi="Aptos" w:eastAsia="Aptos" w:cs="Aptos"/>
          <w:sz w:val="24"/>
          <w:szCs w:val="24"/>
          <w:lang w:val="en-US"/>
        </w:rPr>
        <w:t>recover from</w:t>
      </w:r>
      <w:bookmarkEnd w:id="0"/>
      <w:r>
        <w:rPr>
          <w:rFonts w:ascii="Aptos" w:hAnsi="Aptos" w:eastAsia="Aptos" w:cs="Aptos"/>
          <w:sz w:val="24"/>
          <w:szCs w:val="24"/>
          <w:lang w:val="en-US"/>
        </w:rPr>
        <w:t xml:space="preserve"> security incidents while continually feeding threat trends into proactive defense mechanisms.</w:t>
      </w:r>
    </w:p>
    <w:p w14:paraId="15E8CAAA">
      <w:pPr>
        <w:pStyle w:val="3"/>
        <w:keepNext w:val="0"/>
        <w:keepLines w:val="0"/>
        <w:spacing w:before="0" w:beforeAutospacing="0" w:after="281" w:afterAutospacing="0" w:line="360" w:lineRule="auto"/>
        <w:ind w:right="-288"/>
        <w:jc w:val="both"/>
        <w:rPr>
          <w:rFonts w:ascii="Aptos" w:hAnsi="Aptos" w:eastAsia="Aptos" w:cs="Aptos"/>
          <w:b/>
          <w:bCs/>
          <w:sz w:val="28"/>
          <w:szCs w:val="28"/>
          <w:lang w:val="en-US"/>
        </w:rPr>
      </w:pPr>
    </w:p>
    <w:p w14:paraId="35DC90EE">
      <w:pPr>
        <w:pStyle w:val="3"/>
        <w:keepNext w:val="0"/>
        <w:keepLines w:val="0"/>
        <w:spacing w:before="0" w:beforeAutospacing="0" w:after="281" w:afterAutospacing="0" w:line="360" w:lineRule="auto"/>
        <w:ind w:right="-288"/>
        <w:jc w:val="both"/>
      </w:pPr>
      <w:r>
        <w:rPr>
          <w:rFonts w:ascii="Aptos" w:hAnsi="Aptos" w:eastAsia="Aptos" w:cs="Aptos"/>
          <w:b/>
          <w:bCs/>
          <w:sz w:val="28"/>
          <w:szCs w:val="28"/>
          <w:lang w:val="en-US"/>
        </w:rPr>
        <w:t>Section 1: Cyber Threat Intelligence (CTI) Analysis</w:t>
      </w:r>
    </w:p>
    <w:p w14:paraId="32A4CB55">
      <w:pPr>
        <w:pStyle w:val="4"/>
        <w:keepNext w:val="0"/>
        <w:keepLines w:val="0"/>
        <w:spacing w:before="0" w:beforeAutospacing="0" w:after="319" w:afterAutospacing="0" w:line="360" w:lineRule="auto"/>
        <w:ind w:right="-288"/>
        <w:jc w:val="both"/>
      </w:pPr>
      <w:r>
        <w:rPr>
          <w:rFonts w:ascii="Aptos" w:hAnsi="Aptos" w:eastAsia="Aptos" w:cs="Aptos"/>
          <w:b/>
          <w:bCs/>
          <w:sz w:val="24"/>
          <w:szCs w:val="24"/>
          <w:lang w:val="en-US"/>
        </w:rPr>
        <w:t>1.1 Threat Landscape in E-Governance Digital Services</w:t>
      </w:r>
    </w:p>
    <w:p w14:paraId="40258901">
      <w:pPr>
        <w:keepNext w:val="0"/>
        <w:keepLines w:val="0"/>
        <w:spacing w:before="0" w:beforeAutospacing="0" w:after="240" w:afterAutospacing="0" w:line="360" w:lineRule="auto"/>
        <w:ind w:right="-288"/>
        <w:jc w:val="both"/>
      </w:pPr>
      <w:r>
        <w:rPr>
          <w:rFonts w:ascii="Aptos" w:hAnsi="Aptos" w:eastAsia="Aptos" w:cs="Aptos"/>
          <w:sz w:val="24"/>
          <w:szCs w:val="24"/>
          <w:lang w:val="en-US"/>
        </w:rPr>
        <w:t>Public sector infrastructure faces persistent, high-volume threats from Advanced Persistent Threat (APT) groups, hacktivists, and financially motivated cybercriminals. Recent operational trends show a pivot toward exploiting trust relationships within supply chains and public API endpoints.</w:t>
      </w:r>
    </w:p>
    <w:tbl>
      <w:tblPr>
        <w:tblStyle w:val="6"/>
        <w:tblW w:w="0" w:type="auto"/>
        <w:tblInd w:w="0" w:type="dxa"/>
        <w:tblLayout w:type="autofit"/>
        <w:tblCellMar>
          <w:top w:w="0" w:type="dxa"/>
          <w:left w:w="108" w:type="dxa"/>
          <w:bottom w:w="0" w:type="dxa"/>
          <w:right w:w="108" w:type="dxa"/>
        </w:tblCellMar>
      </w:tblPr>
      <w:tblGrid>
        <w:gridCol w:w="1815"/>
        <w:gridCol w:w="1783"/>
        <w:gridCol w:w="3045"/>
        <w:gridCol w:w="2835"/>
      </w:tblGrid>
      <w:tr w14:paraId="1E99E85D">
        <w:tblPrEx>
          <w:tblCellMar>
            <w:top w:w="0" w:type="dxa"/>
            <w:left w:w="108" w:type="dxa"/>
            <w:bottom w:w="0" w:type="dxa"/>
            <w:right w:w="108" w:type="dxa"/>
          </w:tblCellMar>
        </w:tblPrEx>
        <w:trPr>
          <w:trHeight w:val="300" w:hRule="atLeast"/>
        </w:trPr>
        <w:tc>
          <w:tcPr>
            <w:tcW w:w="18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DA42EE3">
            <w:pPr>
              <w:keepNext w:val="0"/>
              <w:keepLines w:val="0"/>
              <w:spacing w:before="0" w:beforeAutospacing="0" w:after="0" w:afterAutospacing="0" w:line="360" w:lineRule="auto"/>
              <w:ind w:right="-288"/>
              <w:jc w:val="both"/>
            </w:pPr>
            <w:r>
              <w:rPr>
                <w:b/>
                <w:bCs/>
              </w:rPr>
              <w:t xml:space="preserve">Threat </w:t>
            </w:r>
          </w:p>
          <w:p w14:paraId="5B53A872">
            <w:pPr>
              <w:keepNext w:val="0"/>
              <w:keepLines w:val="0"/>
              <w:spacing w:before="0" w:beforeAutospacing="0" w:after="0" w:afterAutospacing="0" w:line="360" w:lineRule="auto"/>
              <w:ind w:right="-288"/>
              <w:jc w:val="both"/>
            </w:pPr>
            <w:r>
              <w:rPr>
                <w:b/>
                <w:bCs/>
              </w:rPr>
              <w:t>Actor</w:t>
            </w:r>
          </w:p>
          <w:p w14:paraId="2C621BA6">
            <w:pPr>
              <w:keepNext w:val="0"/>
              <w:keepLines w:val="0"/>
              <w:spacing w:before="0" w:beforeAutospacing="0" w:after="0" w:afterAutospacing="0" w:line="360" w:lineRule="auto"/>
              <w:ind w:right="-288"/>
              <w:jc w:val="both"/>
            </w:pPr>
            <w:r>
              <w:rPr>
                <w:b/>
                <w:bCs/>
              </w:rPr>
              <w:t>Category</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6A1599A">
            <w:pPr>
              <w:keepNext w:val="0"/>
              <w:keepLines w:val="0"/>
              <w:spacing w:before="0" w:beforeAutospacing="0" w:after="0" w:afterAutospacing="0" w:line="360" w:lineRule="auto"/>
              <w:ind w:right="-288"/>
              <w:jc w:val="both"/>
            </w:pPr>
            <w:r>
              <w:rPr>
                <w:b/>
                <w:bCs/>
              </w:rPr>
              <w:t>Primary Motivation</w:t>
            </w:r>
          </w:p>
        </w:tc>
        <w:tc>
          <w:tcPr>
            <w:tcW w:w="304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FC10A9">
            <w:pPr>
              <w:keepNext w:val="0"/>
              <w:keepLines w:val="0"/>
              <w:spacing w:before="0" w:beforeAutospacing="0" w:after="0" w:afterAutospacing="0" w:line="360" w:lineRule="auto"/>
              <w:ind w:right="-288"/>
              <w:jc w:val="both"/>
            </w:pPr>
            <w:r>
              <w:rPr>
                <w:b/>
                <w:bCs/>
              </w:rPr>
              <w:t>Common Attack</w:t>
            </w:r>
          </w:p>
          <w:p w14:paraId="7DA7150E">
            <w:pPr>
              <w:keepNext w:val="0"/>
              <w:keepLines w:val="0"/>
              <w:spacing w:before="0" w:beforeAutospacing="0" w:after="0" w:afterAutospacing="0" w:line="360" w:lineRule="auto"/>
              <w:ind w:right="-288"/>
              <w:jc w:val="both"/>
            </w:pPr>
            <w:r>
              <w:rPr>
                <w:b/>
                <w:bCs/>
              </w:rPr>
              <w:t xml:space="preserve"> Vectors</w:t>
            </w:r>
          </w:p>
        </w:tc>
        <w:tc>
          <w:tcPr>
            <w:tcW w:w="28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149CDC">
            <w:pPr>
              <w:keepNext w:val="0"/>
              <w:keepLines w:val="0"/>
              <w:spacing w:before="0" w:beforeAutospacing="0" w:after="0" w:afterAutospacing="0" w:line="360" w:lineRule="auto"/>
              <w:ind w:right="-288"/>
              <w:jc w:val="both"/>
            </w:pPr>
            <w:r>
              <w:rPr>
                <w:b/>
                <w:bCs/>
              </w:rPr>
              <w:t>High-Value Targets</w:t>
            </w:r>
          </w:p>
        </w:tc>
      </w:tr>
      <w:tr w14:paraId="07EF72A8">
        <w:tblPrEx>
          <w:tblCellMar>
            <w:top w:w="0" w:type="dxa"/>
            <w:left w:w="108" w:type="dxa"/>
            <w:bottom w:w="0" w:type="dxa"/>
            <w:right w:w="108" w:type="dxa"/>
          </w:tblCellMar>
        </w:tblPrEx>
        <w:trPr>
          <w:trHeight w:val="1965" w:hRule="atLeast"/>
        </w:trPr>
        <w:tc>
          <w:tcPr>
            <w:tcW w:w="18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0704FE">
            <w:pPr>
              <w:keepNext w:val="0"/>
              <w:keepLines w:val="0"/>
              <w:spacing w:before="0" w:beforeAutospacing="0" w:after="0" w:afterAutospacing="0" w:line="360" w:lineRule="auto"/>
              <w:ind w:right="-288"/>
              <w:jc w:val="both"/>
            </w:pPr>
            <w:r>
              <w:rPr>
                <w:b/>
                <w:bCs/>
              </w:rPr>
              <w:t xml:space="preserve">APT </w:t>
            </w:r>
          </w:p>
          <w:p w14:paraId="2D0F6949">
            <w:pPr>
              <w:keepNext w:val="0"/>
              <w:keepLines w:val="0"/>
              <w:spacing w:before="0" w:beforeAutospacing="0" w:after="0" w:afterAutospacing="0" w:line="360" w:lineRule="auto"/>
              <w:ind w:right="-288"/>
              <w:jc w:val="both"/>
            </w:pPr>
            <w:r>
              <w:rPr>
                <w:b/>
                <w:bCs/>
              </w:rPr>
              <w:t xml:space="preserve">Groups </w:t>
            </w:r>
          </w:p>
          <w:p w14:paraId="19D5A7F9">
            <w:pPr>
              <w:keepNext w:val="0"/>
              <w:keepLines w:val="0"/>
              <w:spacing w:before="0" w:beforeAutospacing="0" w:after="0" w:afterAutospacing="0" w:line="360" w:lineRule="auto"/>
              <w:ind w:right="-288"/>
              <w:jc w:val="both"/>
            </w:pPr>
            <w:r>
              <w:rPr>
                <w:b/>
                <w:bCs/>
              </w:rPr>
              <w:t>(Nation-State)</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836092">
            <w:pPr>
              <w:keepNext w:val="0"/>
              <w:keepLines w:val="0"/>
              <w:spacing w:before="0" w:beforeAutospacing="0" w:after="0" w:afterAutospacing="0" w:line="360" w:lineRule="auto"/>
              <w:ind w:right="-288"/>
              <w:jc w:val="both"/>
            </w:pPr>
            <w:r>
              <w:t>Espionage,</w:t>
            </w:r>
          </w:p>
          <w:p w14:paraId="7C194AB7">
            <w:pPr>
              <w:keepNext w:val="0"/>
              <w:keepLines w:val="0"/>
              <w:spacing w:before="0" w:beforeAutospacing="0" w:after="0" w:afterAutospacing="0" w:line="360" w:lineRule="auto"/>
              <w:ind w:right="-288"/>
              <w:jc w:val="both"/>
            </w:pPr>
            <w:r>
              <w:t xml:space="preserve"> DataExfiltration, Infrastructure Disruption</w:t>
            </w:r>
          </w:p>
        </w:tc>
        <w:tc>
          <w:tcPr>
            <w:tcW w:w="304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589E66">
            <w:pPr>
              <w:keepNext w:val="0"/>
              <w:keepLines w:val="0"/>
              <w:spacing w:before="0" w:beforeAutospacing="0" w:after="0" w:afterAutospacing="0" w:line="360" w:lineRule="auto"/>
              <w:ind w:right="-288"/>
              <w:jc w:val="both"/>
            </w:pPr>
            <w:r>
              <w:t>Zero-day exploits,</w:t>
            </w:r>
          </w:p>
          <w:p w14:paraId="123C78F4">
            <w:pPr>
              <w:keepNext w:val="0"/>
              <w:keepLines w:val="0"/>
              <w:spacing w:before="0" w:beforeAutospacing="0" w:after="0" w:afterAutospacing="0" w:line="360" w:lineRule="auto"/>
              <w:ind w:right="-288"/>
              <w:jc w:val="both"/>
            </w:pPr>
            <w:r>
              <w:t xml:space="preserve"> Spear-phishing, </w:t>
            </w:r>
          </w:p>
          <w:p w14:paraId="50762BC4">
            <w:pPr>
              <w:keepNext w:val="0"/>
              <w:keepLines w:val="0"/>
              <w:spacing w:before="0" w:beforeAutospacing="0" w:after="0" w:afterAutospacing="0" w:line="360" w:lineRule="auto"/>
              <w:ind w:right="-288"/>
              <w:jc w:val="both"/>
            </w:pPr>
            <w:r>
              <w:t>Supply chain compromise</w:t>
            </w:r>
          </w:p>
        </w:tc>
        <w:tc>
          <w:tcPr>
            <w:tcW w:w="28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2B41954">
            <w:pPr>
              <w:keepNext w:val="0"/>
              <w:keepLines w:val="0"/>
              <w:spacing w:before="0" w:beforeAutospacing="0" w:after="0" w:afterAutospacing="0" w:line="360" w:lineRule="auto"/>
              <w:ind w:right="-288"/>
              <w:jc w:val="both"/>
            </w:pPr>
            <w:r>
              <w:t>Citizen databases,</w:t>
            </w:r>
          </w:p>
          <w:p w14:paraId="71D7F14F">
            <w:pPr>
              <w:keepNext w:val="0"/>
              <w:keepLines w:val="0"/>
              <w:spacing w:before="0" w:beforeAutospacing="0" w:after="0" w:afterAutospacing="0" w:line="360" w:lineRule="auto"/>
              <w:ind w:right="-288"/>
              <w:jc w:val="both"/>
            </w:pPr>
            <w:r>
              <w:t xml:space="preserve">Defense/Policy </w:t>
            </w:r>
          </w:p>
          <w:p w14:paraId="4D932195">
            <w:pPr>
              <w:keepNext w:val="0"/>
              <w:keepLines w:val="0"/>
              <w:spacing w:before="0" w:beforeAutospacing="0" w:after="0" w:afterAutospacing="0" w:line="360" w:lineRule="auto"/>
              <w:ind w:right="-288"/>
              <w:jc w:val="both"/>
            </w:pPr>
            <w:r>
              <w:t xml:space="preserve">archives, </w:t>
            </w:r>
          </w:p>
          <w:p w14:paraId="48300B62">
            <w:pPr>
              <w:keepNext w:val="0"/>
              <w:keepLines w:val="0"/>
              <w:spacing w:before="0" w:beforeAutospacing="0" w:after="0" w:afterAutospacing="0" w:line="360" w:lineRule="auto"/>
              <w:ind w:right="-288"/>
              <w:jc w:val="both"/>
            </w:pPr>
            <w:r>
              <w:t>Backend SQL databases</w:t>
            </w:r>
          </w:p>
        </w:tc>
      </w:tr>
      <w:tr w14:paraId="2BAE550E">
        <w:tblPrEx>
          <w:tblCellMar>
            <w:top w:w="0" w:type="dxa"/>
            <w:left w:w="108" w:type="dxa"/>
            <w:bottom w:w="0" w:type="dxa"/>
            <w:right w:w="108" w:type="dxa"/>
          </w:tblCellMar>
        </w:tblPrEx>
        <w:trPr>
          <w:trHeight w:val="1440" w:hRule="atLeast"/>
        </w:trPr>
        <w:tc>
          <w:tcPr>
            <w:tcW w:w="18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8D4F6B7">
            <w:pPr>
              <w:keepNext w:val="0"/>
              <w:keepLines w:val="0"/>
              <w:spacing w:before="0" w:beforeAutospacing="0" w:after="0" w:afterAutospacing="0" w:line="360" w:lineRule="auto"/>
              <w:ind w:right="-288"/>
              <w:jc w:val="both"/>
            </w:pPr>
            <w:r>
              <w:rPr>
                <w:b/>
                <w:bCs/>
              </w:rPr>
              <w:t>Ransomware Cartels</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CB2AFE5">
            <w:pPr>
              <w:keepNext w:val="0"/>
              <w:keepLines w:val="0"/>
              <w:spacing w:before="0" w:beforeAutospacing="0" w:after="0" w:afterAutospacing="0" w:line="360" w:lineRule="auto"/>
              <w:ind w:right="-288"/>
              <w:jc w:val="both"/>
            </w:pPr>
            <w:r>
              <w:t>Financial Extortion</w:t>
            </w:r>
          </w:p>
        </w:tc>
        <w:tc>
          <w:tcPr>
            <w:tcW w:w="304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9BF5AC">
            <w:pPr>
              <w:keepNext w:val="0"/>
              <w:keepLines w:val="0"/>
              <w:spacing w:before="0" w:beforeAutospacing="0" w:after="0" w:afterAutospacing="0" w:line="360" w:lineRule="auto"/>
              <w:ind w:right="-288"/>
              <w:jc w:val="both"/>
            </w:pPr>
            <w:r>
              <w:t>Exploitation of unpatched</w:t>
            </w:r>
          </w:p>
          <w:p w14:paraId="7AA19A89">
            <w:pPr>
              <w:keepNext w:val="0"/>
              <w:keepLines w:val="0"/>
              <w:spacing w:before="0" w:beforeAutospacing="0" w:after="0" w:afterAutospacing="0" w:line="360" w:lineRule="auto"/>
              <w:ind w:right="-288"/>
              <w:jc w:val="both"/>
            </w:pPr>
            <w:r>
              <w:t xml:space="preserve"> edge devices </w:t>
            </w:r>
          </w:p>
          <w:p w14:paraId="6D9CC0B7">
            <w:pPr>
              <w:keepNext w:val="0"/>
              <w:keepLines w:val="0"/>
              <w:spacing w:before="0" w:beforeAutospacing="0" w:after="0" w:afterAutospacing="0" w:line="360" w:lineRule="auto"/>
              <w:ind w:right="-288"/>
              <w:jc w:val="both"/>
            </w:pPr>
            <w:r>
              <w:t>(VPNs), Compromised RDP</w:t>
            </w:r>
          </w:p>
        </w:tc>
        <w:tc>
          <w:tcPr>
            <w:tcW w:w="28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B7B7EC">
            <w:pPr>
              <w:keepNext w:val="0"/>
              <w:keepLines w:val="0"/>
              <w:spacing w:before="0" w:beforeAutospacing="0" w:after="0" w:afterAutospacing="0" w:line="360" w:lineRule="auto"/>
              <w:ind w:right="-288"/>
              <w:jc w:val="both"/>
            </w:pPr>
            <w:r>
              <w:t>Municipal databases</w:t>
            </w:r>
          </w:p>
          <w:p w14:paraId="4F5C4073">
            <w:pPr>
              <w:keepNext w:val="0"/>
              <w:keepLines w:val="0"/>
              <w:spacing w:before="0" w:beforeAutospacing="0" w:after="0" w:afterAutospacing="0" w:line="360" w:lineRule="auto"/>
              <w:ind w:right="-288"/>
              <w:jc w:val="both"/>
            </w:pPr>
            <w:r>
              <w:t xml:space="preserve">Health portals, </w:t>
            </w:r>
          </w:p>
          <w:p w14:paraId="4C9B7CF2">
            <w:pPr>
              <w:keepNext w:val="0"/>
              <w:keepLines w:val="0"/>
              <w:spacing w:before="0" w:beforeAutospacing="0" w:after="0" w:afterAutospacing="0" w:line="360" w:lineRule="auto"/>
              <w:ind w:right="-288"/>
              <w:jc w:val="both"/>
            </w:pPr>
            <w:r>
              <w:t>Land record systems</w:t>
            </w:r>
          </w:p>
        </w:tc>
      </w:tr>
      <w:tr w14:paraId="776ED816">
        <w:tblPrEx>
          <w:tblCellMar>
            <w:top w:w="0" w:type="dxa"/>
            <w:left w:w="108" w:type="dxa"/>
            <w:bottom w:w="0" w:type="dxa"/>
            <w:right w:w="108" w:type="dxa"/>
          </w:tblCellMar>
        </w:tblPrEx>
        <w:trPr>
          <w:trHeight w:val="300" w:hRule="atLeast"/>
        </w:trPr>
        <w:tc>
          <w:tcPr>
            <w:tcW w:w="18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78468B">
            <w:pPr>
              <w:keepNext w:val="0"/>
              <w:keepLines w:val="0"/>
              <w:spacing w:before="0" w:beforeAutospacing="0" w:after="0" w:afterAutospacing="0" w:line="360" w:lineRule="auto"/>
              <w:ind w:right="-288"/>
              <w:jc w:val="both"/>
            </w:pPr>
            <w:r>
              <w:rPr>
                <w:b/>
                <w:bCs/>
              </w:rPr>
              <w:t>Hacktivist Collectives</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9AD700">
            <w:pPr>
              <w:keepNext w:val="0"/>
              <w:keepLines w:val="0"/>
              <w:spacing w:before="0" w:beforeAutospacing="0" w:after="0" w:afterAutospacing="0" w:line="360" w:lineRule="auto"/>
              <w:ind w:right="-288"/>
              <w:jc w:val="both"/>
            </w:pPr>
            <w:r>
              <w:t>Service Disruption, Political Messaging</w:t>
            </w:r>
          </w:p>
        </w:tc>
        <w:tc>
          <w:tcPr>
            <w:tcW w:w="304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88339BF">
            <w:pPr>
              <w:keepNext w:val="0"/>
              <w:keepLines w:val="0"/>
              <w:spacing w:before="0" w:beforeAutospacing="0" w:after="0" w:afterAutospacing="0" w:line="360" w:lineRule="auto"/>
              <w:ind w:right="-288"/>
              <w:jc w:val="both"/>
            </w:pPr>
            <w:r>
              <w:t xml:space="preserve">Distributed Denial of </w:t>
            </w:r>
          </w:p>
          <w:p w14:paraId="7F46BAB5">
            <w:pPr>
              <w:keepNext w:val="0"/>
              <w:keepLines w:val="0"/>
              <w:spacing w:before="0" w:beforeAutospacing="0" w:after="0" w:afterAutospacing="0" w:line="360" w:lineRule="auto"/>
              <w:ind w:right="-288"/>
              <w:jc w:val="both"/>
            </w:pPr>
            <w:r>
              <w:t xml:space="preserve">Service (DDoS), </w:t>
            </w:r>
          </w:p>
          <w:p w14:paraId="653F655A">
            <w:pPr>
              <w:keepNext w:val="0"/>
              <w:keepLines w:val="0"/>
              <w:spacing w:before="0" w:beforeAutospacing="0" w:after="0" w:afterAutospacing="0" w:line="360" w:lineRule="auto"/>
              <w:ind w:right="-288"/>
              <w:jc w:val="both"/>
            </w:pPr>
            <w:r>
              <w:t>Web Defacement</w:t>
            </w:r>
            <w:bookmarkStart w:id="11" w:name="_GoBack"/>
            <w:bookmarkEnd w:id="11"/>
          </w:p>
        </w:tc>
        <w:tc>
          <w:tcPr>
            <w:tcW w:w="28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66A632">
            <w:pPr>
              <w:keepNext w:val="0"/>
              <w:keepLines w:val="0"/>
              <w:spacing w:before="0" w:beforeAutospacing="0" w:after="0" w:afterAutospacing="0" w:line="360" w:lineRule="auto"/>
              <w:ind w:right="-288"/>
              <w:jc w:val="both"/>
            </w:pPr>
            <w:r>
              <w:t xml:space="preserve">Public-facing </w:t>
            </w:r>
          </w:p>
          <w:p w14:paraId="18D4F62C">
            <w:pPr>
              <w:keepNext w:val="0"/>
              <w:keepLines w:val="0"/>
              <w:spacing w:before="0" w:beforeAutospacing="0" w:after="0" w:afterAutospacing="0" w:line="360" w:lineRule="auto"/>
              <w:ind w:right="-288"/>
              <w:jc w:val="both"/>
            </w:pPr>
            <w:r>
              <w:t xml:space="preserve">portals, </w:t>
            </w:r>
          </w:p>
          <w:p w14:paraId="52CE7AB9">
            <w:pPr>
              <w:keepNext w:val="0"/>
              <w:keepLines w:val="0"/>
              <w:spacing w:before="0" w:beforeAutospacing="0" w:after="0" w:afterAutospacing="0" w:line="360" w:lineRule="auto"/>
              <w:ind w:right="-288"/>
              <w:jc w:val="both"/>
            </w:pPr>
            <w:r>
              <w:t>Authentication</w:t>
            </w:r>
          </w:p>
          <w:p w14:paraId="4044377A">
            <w:pPr>
              <w:keepNext w:val="0"/>
              <w:keepLines w:val="0"/>
              <w:spacing w:before="0" w:beforeAutospacing="0" w:after="0" w:afterAutospacing="0" w:line="360" w:lineRule="auto"/>
              <w:ind w:right="-288"/>
              <w:jc w:val="both"/>
            </w:pPr>
            <w:r>
              <w:t xml:space="preserve"> gateways</w:t>
            </w:r>
          </w:p>
        </w:tc>
      </w:tr>
      <w:tr w14:paraId="527542F7">
        <w:tblPrEx>
          <w:tblCellMar>
            <w:top w:w="0" w:type="dxa"/>
            <w:left w:w="108" w:type="dxa"/>
            <w:bottom w:w="0" w:type="dxa"/>
            <w:right w:w="108" w:type="dxa"/>
          </w:tblCellMar>
        </w:tblPrEx>
        <w:trPr>
          <w:trHeight w:val="300" w:hRule="atLeast"/>
        </w:trPr>
        <w:tc>
          <w:tcPr>
            <w:tcW w:w="181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A2E1B4D">
            <w:pPr>
              <w:keepNext w:val="0"/>
              <w:keepLines w:val="0"/>
              <w:spacing w:before="0" w:beforeAutospacing="0" w:after="0" w:afterAutospacing="0" w:line="360" w:lineRule="auto"/>
              <w:ind w:right="-288"/>
              <w:jc w:val="both"/>
            </w:pPr>
            <w:r>
              <w:rPr>
                <w:b/>
                <w:bCs/>
              </w:rPr>
              <w:t>Malicious Insiders</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0B4E61B">
            <w:pPr>
              <w:keepNext w:val="0"/>
              <w:keepLines w:val="0"/>
              <w:spacing w:before="0" w:beforeAutospacing="0" w:after="0" w:afterAutospacing="0" w:line="360" w:lineRule="auto"/>
              <w:ind w:right="-288"/>
              <w:jc w:val="both"/>
            </w:pPr>
            <w:r>
              <w:t>Financial Gain, Revenge</w:t>
            </w:r>
          </w:p>
        </w:tc>
        <w:tc>
          <w:tcPr>
            <w:tcW w:w="304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048CA83">
            <w:pPr>
              <w:keepNext w:val="0"/>
              <w:keepLines w:val="0"/>
              <w:spacing w:before="0" w:beforeAutospacing="0" w:after="0" w:afterAutospacing="0" w:line="360" w:lineRule="auto"/>
              <w:ind w:right="-288"/>
              <w:jc w:val="both"/>
            </w:pPr>
            <w:r>
              <w:t xml:space="preserve">Unauthorized data </w:t>
            </w:r>
          </w:p>
          <w:p w14:paraId="49BCC2DE">
            <w:pPr>
              <w:keepNext w:val="0"/>
              <w:keepLines w:val="0"/>
              <w:spacing w:before="0" w:beforeAutospacing="0" w:after="0" w:afterAutospacing="0" w:line="360" w:lineRule="auto"/>
              <w:ind w:right="-288"/>
              <w:jc w:val="both"/>
            </w:pPr>
            <w:r>
              <w:t>access, Privilege abuse</w:t>
            </w:r>
          </w:p>
        </w:tc>
        <w:tc>
          <w:tcPr>
            <w:tcW w:w="283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C1D083">
            <w:pPr>
              <w:keepNext w:val="0"/>
              <w:keepLines w:val="0"/>
              <w:spacing w:before="0" w:beforeAutospacing="0" w:after="0" w:afterAutospacing="0" w:line="360" w:lineRule="auto"/>
              <w:ind w:right="-288"/>
              <w:jc w:val="both"/>
            </w:pPr>
            <w:r>
              <w:t xml:space="preserve">Database </w:t>
            </w:r>
          </w:p>
          <w:p w14:paraId="6C85A075">
            <w:pPr>
              <w:keepNext w:val="0"/>
              <w:keepLines w:val="0"/>
              <w:spacing w:before="0" w:beforeAutospacing="0" w:after="0" w:afterAutospacing="0" w:line="360" w:lineRule="auto"/>
              <w:ind w:right="-288"/>
              <w:jc w:val="both"/>
            </w:pPr>
            <w:r>
              <w:t xml:space="preserve">administrative </w:t>
            </w:r>
          </w:p>
          <w:p w14:paraId="5DD5F841">
            <w:pPr>
              <w:keepNext w:val="0"/>
              <w:keepLines w:val="0"/>
              <w:spacing w:before="0" w:beforeAutospacing="0" w:after="0" w:afterAutospacing="0" w:line="360" w:lineRule="auto"/>
              <w:ind w:right="-288"/>
              <w:jc w:val="both"/>
            </w:pPr>
            <w:r>
              <w:t xml:space="preserve">panels, </w:t>
            </w:r>
          </w:p>
          <w:p w14:paraId="292E8AAB">
            <w:pPr>
              <w:keepNext w:val="0"/>
              <w:keepLines w:val="0"/>
              <w:spacing w:before="0" w:beforeAutospacing="0" w:after="0" w:afterAutospacing="0" w:line="360" w:lineRule="auto"/>
              <w:ind w:right="-288"/>
              <w:jc w:val="both"/>
            </w:pPr>
            <w:r>
              <w:t>Internal review portals</w:t>
            </w:r>
          </w:p>
        </w:tc>
      </w:tr>
    </w:tbl>
    <w:p w14:paraId="7B0C57B4">
      <w:pPr>
        <w:pStyle w:val="4"/>
        <w:keepNext w:val="0"/>
        <w:keepLines w:val="0"/>
        <w:bidi w:val="0"/>
        <w:spacing w:before="0" w:beforeAutospacing="0" w:after="319" w:afterAutospacing="0" w:line="360" w:lineRule="auto"/>
        <w:ind w:right="-288"/>
        <w:jc w:val="both"/>
      </w:pPr>
      <w:r>
        <w:rPr>
          <w:rFonts w:ascii="Aptos" w:hAnsi="Aptos" w:eastAsia="Aptos" w:cs="Aptos"/>
          <w:b/>
          <w:bCs/>
          <w:sz w:val="24"/>
          <w:szCs w:val="24"/>
          <w:lang w:val="en-US"/>
        </w:rPr>
        <w:t>1.2 Key Attack Vectors &amp; Recent Threat Trends</w:t>
      </w:r>
    </w:p>
    <w:p w14:paraId="74C0E3A7">
      <w:pPr>
        <w:pStyle w:val="8"/>
        <w:keepNext w:val="0"/>
        <w:keepLines w:val="0"/>
        <w:numPr>
          <w:ilvl w:val="0"/>
          <w:numId w:val="2"/>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API Vulnerabilities &amp; Mass Data Scraping:</w:t>
      </w:r>
      <w:r>
        <w:rPr>
          <w:rFonts w:ascii="Aptos" w:hAnsi="Aptos" w:eastAsia="Aptos" w:cs="Aptos"/>
          <w:sz w:val="24"/>
          <w:szCs w:val="24"/>
          <w:lang w:val="en-US"/>
        </w:rPr>
        <w:t xml:space="preserve"> Broken Object Level Authorization (BOLA) on public endpoints allowing unauthorized queries of citizen ID numbers and birth records.</w:t>
      </w:r>
    </w:p>
    <w:p w14:paraId="6FB1C437">
      <w:pPr>
        <w:pStyle w:val="8"/>
        <w:keepNext w:val="0"/>
        <w:keepLines w:val="0"/>
        <w:numPr>
          <w:ilvl w:val="0"/>
          <w:numId w:val="2"/>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Credential Stuffing &amp; MFA Fatigue:</w:t>
      </w:r>
      <w:r>
        <w:rPr>
          <w:rFonts w:ascii="Aptos" w:hAnsi="Aptos" w:eastAsia="Aptos" w:cs="Aptos"/>
          <w:sz w:val="24"/>
          <w:szCs w:val="24"/>
          <w:lang w:val="en-US"/>
        </w:rPr>
        <w:t xml:space="preserve"> Automated attacks on citizen logins combined with push-notification fatigue targeting administrative personnel.</w:t>
      </w:r>
    </w:p>
    <w:p w14:paraId="26885BE2">
      <w:pPr>
        <w:pStyle w:val="8"/>
        <w:keepNext w:val="0"/>
        <w:keepLines w:val="0"/>
        <w:numPr>
          <w:ilvl w:val="0"/>
          <w:numId w:val="2"/>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Supply Chain Dependencies:</w:t>
      </w:r>
      <w:r>
        <w:rPr>
          <w:rFonts w:ascii="Aptos" w:hAnsi="Aptos" w:eastAsia="Aptos" w:cs="Aptos"/>
          <w:sz w:val="24"/>
          <w:szCs w:val="24"/>
          <w:lang w:val="en-US"/>
        </w:rPr>
        <w:t xml:space="preserve"> Vulnerabilities in open-source components and third-party vendor portal modules (e.g., PDF generation tools, payment gateways).</w:t>
      </w:r>
    </w:p>
    <w:p w14:paraId="4C294AFD">
      <w:pPr>
        <w:pStyle w:val="8"/>
        <w:keepNext w:val="0"/>
        <w:keepLines w:val="0"/>
        <w:numPr>
          <w:ilvl w:val="0"/>
          <w:numId w:val="2"/>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Targeted Phishing via Citizen Portals:</w:t>
      </w:r>
      <w:r>
        <w:rPr>
          <w:rFonts w:ascii="Aptos" w:hAnsi="Aptos" w:eastAsia="Aptos" w:cs="Aptos"/>
          <w:sz w:val="24"/>
          <w:szCs w:val="24"/>
          <w:lang w:val="en-US"/>
        </w:rPr>
        <w:t xml:space="preserve"> Spoofed e-governance domain names used to harvest credentials and bank details from citizens.</w:t>
      </w:r>
    </w:p>
    <w:p w14:paraId="26B53ED1">
      <w:pPr>
        <w:pStyle w:val="3"/>
        <w:keepNext w:val="0"/>
        <w:keepLines w:val="0"/>
        <w:bidi w:val="0"/>
        <w:spacing w:before="0" w:beforeAutospacing="0" w:after="281" w:afterAutospacing="0" w:line="360" w:lineRule="auto"/>
        <w:ind w:right="-288"/>
        <w:jc w:val="both"/>
      </w:pPr>
      <w:r>
        <w:rPr>
          <w:rFonts w:ascii="Aptos" w:hAnsi="Aptos" w:eastAsia="Aptos" w:cs="Aptos"/>
          <w:b/>
          <w:bCs/>
          <w:sz w:val="28"/>
          <w:szCs w:val="28"/>
          <w:lang w:val="en-US"/>
        </w:rPr>
        <w:t>Section 2: Incident Response Framework</w:t>
      </w:r>
    </w:p>
    <w:p w14:paraId="0D164DE9">
      <w:pPr>
        <w:keepNext w:val="0"/>
        <w:keepLines w:val="0"/>
        <w:bidi w:val="0"/>
        <w:spacing w:before="0" w:beforeAutospacing="0" w:after="240" w:afterAutospacing="0" w:line="360" w:lineRule="auto"/>
        <w:ind w:right="-288"/>
        <w:jc w:val="both"/>
      </w:pPr>
      <w:r>
        <w:rPr>
          <w:rFonts w:ascii="Aptos" w:hAnsi="Aptos" w:eastAsia="Aptos" w:cs="Aptos"/>
          <w:sz w:val="24"/>
          <w:szCs w:val="24"/>
          <w:lang w:val="en-US"/>
        </w:rPr>
        <w:t xml:space="preserve">The Incident Response Lifecycle follows the </w:t>
      </w:r>
      <w:r>
        <w:rPr>
          <w:rFonts w:ascii="Aptos" w:hAnsi="Aptos" w:eastAsia="Aptos" w:cs="Aptos"/>
          <w:b/>
          <w:bCs/>
          <w:sz w:val="24"/>
          <w:szCs w:val="24"/>
          <w:lang w:val="en-US"/>
        </w:rPr>
        <w:t>NIST SP 800-61 Rev. 2</w:t>
      </w:r>
      <w:r>
        <w:rPr>
          <w:rFonts w:ascii="Aptos" w:hAnsi="Aptos" w:eastAsia="Aptos" w:cs="Aptos"/>
          <w:sz w:val="24"/>
          <w:szCs w:val="24"/>
          <w:lang w:val="en-US"/>
        </w:rPr>
        <w:t xml:space="preserve"> standard, customized for e-governance operational continuous availability demands.</w:t>
      </w:r>
    </w:p>
    <w:p w14:paraId="423B492C">
      <w:pPr>
        <w:keepNext w:val="0"/>
        <w:keepLines w:val="0"/>
        <w:bidi w:val="0"/>
        <w:spacing w:before="0" w:beforeAutospacing="0" w:after="0" w:afterAutospacing="0" w:line="360" w:lineRule="auto"/>
        <w:ind w:right="-288"/>
        <w:jc w:val="both"/>
        <w:rPr>
          <w:rFonts w:ascii="Consolas" w:hAnsi="Consolas" w:eastAsia="Consolas" w:cs="Consolas"/>
          <w:sz w:val="24"/>
          <w:szCs w:val="24"/>
          <w:lang w:val="en-US"/>
        </w:rPr>
      </w:pPr>
      <w:r>
        <w:rPr>
          <w:rFonts w:ascii="Consolas" w:hAnsi="Consolas" w:eastAsia="Consolas" w:cs="Consolas"/>
          <w:sz w:val="24"/>
          <w:szCs w:val="24"/>
          <w:lang w:val="en-US"/>
        </w:rPr>
        <w:t xml:space="preserve">                </w:t>
      </w:r>
    </w:p>
    <w:p w14:paraId="626808A9">
      <w:pPr>
        <w:keepNext w:val="0"/>
        <w:keepLines w:val="0"/>
        <w:bidi w:val="0"/>
        <w:spacing w:before="0" w:beforeAutospacing="0" w:after="0" w:afterAutospacing="0" w:line="360" w:lineRule="auto"/>
        <w:ind w:right="-288" w:firstLine="2880" w:firstLineChars="1200"/>
        <w:jc w:val="both"/>
      </w:pPr>
      <w:r>
        <w:rPr>
          <w:rFonts w:ascii="Consolas" w:hAnsi="Consolas" w:eastAsia="Consolas" w:cs="Consolas"/>
          <w:sz w:val="24"/>
          <w:szCs w:val="24"/>
          <w:lang w:val="en-US"/>
        </w:rPr>
        <w:t>1</w:t>
      </w:r>
      <w:r>
        <w:rPr>
          <w:rFonts w:hint="default" w:ascii="Consolas" w:hAnsi="Consolas" w:eastAsia="Consolas" w:cs="Consolas"/>
          <w:sz w:val="24"/>
          <w:szCs w:val="24"/>
          <w:lang w:val="en-US"/>
        </w:rPr>
        <w:t>.</w:t>
      </w:r>
      <w:r>
        <w:rPr>
          <w:rFonts w:ascii="Consolas" w:hAnsi="Consolas" w:eastAsia="Consolas" w:cs="Consolas"/>
          <w:sz w:val="24"/>
          <w:szCs w:val="24"/>
          <w:lang w:val="en-US"/>
        </w:rPr>
        <w:t xml:space="preserve">PREPARATION                                  </w:t>
      </w:r>
      <w:r>
        <w:br w:type="textWrapping"/>
      </w:r>
      <w:r>
        <w:rPr>
          <w:rFonts w:ascii="Consolas" w:hAnsi="Consolas" w:eastAsia="Consolas" w:cs="Consolas"/>
          <w:sz w:val="24"/>
          <w:szCs w:val="24"/>
          <w:lang w:val="en-US"/>
        </w:rPr>
        <w:t xml:space="preserve">  (Hardening, SIEM, Playbooks, Training, CERT-In </w:t>
      </w:r>
      <w:bookmarkStart w:id="1" w:name="_Int_1xvAig63"/>
      <w:r>
        <w:rPr>
          <w:rFonts w:ascii="Consolas" w:hAnsi="Consolas" w:eastAsia="Consolas" w:cs="Consolas"/>
          <w:sz w:val="24"/>
          <w:szCs w:val="24"/>
          <w:lang w:val="en-US"/>
        </w:rPr>
        <w:t xml:space="preserve">Coordination)   </w:t>
      </w:r>
      <w:bookmarkEnd w:id="1"/>
      <w:r>
        <w:rPr>
          <w:rFonts w:ascii="Consolas" w:hAnsi="Consolas" w:eastAsia="Consolas" w:cs="Consolas"/>
          <w:sz w:val="24"/>
          <w:szCs w:val="24"/>
          <w:lang w:val="en-US"/>
        </w:rPr>
        <w:t xml:space="preserve">                                                          </w:t>
      </w:r>
      <w:r>
        <w:rPr>
          <w:rFonts w:hint="default" w:ascii="Consolas" w:hAnsi="Consolas" w:eastAsia="Consolas" w:cs="Consolas"/>
          <w:sz w:val="24"/>
          <w:szCs w:val="24"/>
          <w:lang w:val="en-US"/>
        </w:rPr>
        <w:t xml:space="preserve">      </w:t>
      </w:r>
      <w:r>
        <w:rPr>
          <w:rFonts w:hint="default" w:ascii="Consolas" w:hAnsi="Consolas" w:eastAsia="Consolas" w:cs="Consolas"/>
          <w:sz w:val="24"/>
          <w:szCs w:val="24"/>
          <w:lang w:val="en-US"/>
        </w:rPr>
        <w:tab/>
        <w:t/>
      </w:r>
      <w:r>
        <w:rPr>
          <w:rFonts w:hint="default" w:ascii="Consolas" w:hAnsi="Consolas" w:eastAsia="Consolas" w:cs="Consolas"/>
          <w:sz w:val="24"/>
          <w:szCs w:val="24"/>
          <w:lang w:val="en-US"/>
        </w:rPr>
        <w:tab/>
        <w:t/>
      </w:r>
      <w:r>
        <w:rPr>
          <w:rFonts w:hint="default" w:ascii="Consolas" w:hAnsi="Consolas" w:eastAsia="Consolas" w:cs="Consolas"/>
          <w:sz w:val="24"/>
          <w:szCs w:val="24"/>
          <w:lang w:val="en-US"/>
        </w:rPr>
        <w:tab/>
        <w:t/>
      </w:r>
      <w:r>
        <w:rPr>
          <w:rFonts w:hint="default" w:ascii="Consolas" w:hAnsi="Consolas" w:eastAsia="Consolas" w:cs="Consolas"/>
          <w:sz w:val="24"/>
          <w:szCs w:val="24"/>
          <w:lang w:val="en-US"/>
        </w:rPr>
        <w:tab/>
      </w:r>
      <w:r>
        <w:rPr>
          <w:rFonts w:ascii="Consolas" w:hAnsi="Consolas" w:eastAsia="Consolas" w:cs="Consolas"/>
          <w:sz w:val="24"/>
          <w:szCs w:val="24"/>
          <w:lang w:val="en-US"/>
        </w:rPr>
        <w:t xml:space="preserve">2.DETECTION&amp;ANALYSIS                             </w:t>
      </w:r>
      <w:r>
        <w:br w:type="textWrapping"/>
      </w:r>
      <w:r>
        <w:rPr>
          <w:rFonts w:ascii="Consolas" w:hAnsi="Consolas" w:eastAsia="Consolas" w:cs="Consolas"/>
          <w:sz w:val="24"/>
          <w:szCs w:val="24"/>
          <w:lang w:val="en-US"/>
        </w:rPr>
        <w:t xml:space="preserve">  (IDS/IPS Alerts, Log Correlation, Triage, Severity Classification)  </w:t>
      </w:r>
    </w:p>
    <w:p w14:paraId="1F37022B">
      <w:pPr>
        <w:keepNext w:val="0"/>
        <w:keepLines w:val="0"/>
        <w:bidi w:val="0"/>
        <w:spacing w:before="0" w:beforeAutospacing="0" w:after="0" w:afterAutospacing="0" w:line="360" w:lineRule="auto"/>
        <w:ind w:right="-288"/>
        <w:jc w:val="both"/>
        <w:rPr>
          <w:rFonts w:ascii="Aptos" w:hAnsi="Aptos" w:eastAsia="Aptos" w:cs="Aptos"/>
          <w:b/>
          <w:bCs/>
          <w:i/>
          <w:iCs/>
          <w:color w:val="0F9ED5" w:themeColor="accent4" w:themeTint="FF"/>
          <w:sz w:val="24"/>
          <w:szCs w:val="24"/>
          <w:lang w:val="en-US"/>
          <w14:textFill>
            <w14:solidFill>
              <w14:schemeClr w14:val="accent4">
                <w14:lumMod w14:val="100000"/>
                <w14:lumOff w14:val="0"/>
              </w14:schemeClr>
            </w14:solidFill>
          </w14:textFill>
        </w:rPr>
      </w:pPr>
      <w:r>
        <w:rPr>
          <w:rFonts w:ascii="Consolas" w:hAnsi="Consolas" w:eastAsia="Consolas" w:cs="Consolas"/>
          <w:sz w:val="24"/>
          <w:szCs w:val="24"/>
          <w:lang w:val="en-US"/>
        </w:rPr>
        <w:t xml:space="preserve">                 </w:t>
      </w:r>
      <w:r>
        <w:rPr>
          <w:rFonts w:hint="default" w:ascii="Consolas" w:hAnsi="Consolas" w:eastAsia="Consolas" w:cs="Consolas"/>
          <w:sz w:val="24"/>
          <w:szCs w:val="24"/>
          <w:lang w:val="en-US"/>
        </w:rPr>
        <w:tab/>
      </w:r>
      <w:r>
        <w:rPr>
          <w:rFonts w:ascii="Consolas" w:hAnsi="Consolas" w:eastAsia="Consolas" w:cs="Consolas"/>
          <w:sz w:val="24"/>
          <w:szCs w:val="24"/>
          <w:lang w:val="en-US"/>
        </w:rPr>
        <w:t xml:space="preserve">3.CONTAINMENT,ERADICATION&amp;RECOVERY                </w:t>
      </w:r>
      <w:r>
        <w:br w:type="textWrapping"/>
      </w:r>
      <w:r>
        <w:rPr>
          <w:rFonts w:ascii="Consolas" w:hAnsi="Consolas" w:eastAsia="Consolas" w:cs="Consolas"/>
          <w:sz w:val="24"/>
          <w:szCs w:val="24"/>
          <w:lang w:val="en-US"/>
        </w:rPr>
        <w:t xml:space="preserve">  (Network Isolation, Malware Removal, System Restores, </w:t>
      </w:r>
      <w:bookmarkStart w:id="2" w:name="_Int_aT6kmEPr"/>
      <w:r>
        <w:rPr>
          <w:rFonts w:ascii="Consolas" w:hAnsi="Consolas" w:eastAsia="Consolas" w:cs="Consolas"/>
          <w:sz w:val="24"/>
          <w:szCs w:val="24"/>
          <w:lang w:val="en-US"/>
        </w:rPr>
        <w:t xml:space="preserve">Validation)   </w:t>
      </w:r>
      <w:bookmarkEnd w:id="2"/>
      <w:r>
        <w:br w:type="textWrapping"/>
      </w:r>
      <w:r>
        <w:rPr>
          <w:rFonts w:ascii="Consolas" w:hAnsi="Consolas" w:eastAsia="Consolas" w:cs="Consolas"/>
          <w:sz w:val="24"/>
          <w:szCs w:val="24"/>
          <w:lang w:val="en-US"/>
        </w:rPr>
        <w:t xml:space="preserve">              </w:t>
      </w:r>
      <w:r>
        <w:rPr>
          <w:rFonts w:hint="default" w:ascii="Consolas" w:hAnsi="Consolas" w:eastAsia="Consolas" w:cs="Consolas"/>
          <w:sz w:val="24"/>
          <w:szCs w:val="24"/>
          <w:lang w:val="en-US"/>
        </w:rPr>
        <w:tab/>
        <w:t/>
      </w:r>
      <w:r>
        <w:rPr>
          <w:rFonts w:hint="default" w:ascii="Consolas" w:hAnsi="Consolas" w:eastAsia="Consolas" w:cs="Consolas"/>
          <w:sz w:val="24"/>
          <w:szCs w:val="24"/>
          <w:lang w:val="en-US"/>
        </w:rPr>
        <w:tab/>
      </w:r>
      <w:r>
        <w:rPr>
          <w:rFonts w:ascii="Consolas" w:hAnsi="Consolas" w:eastAsia="Consolas" w:cs="Consolas"/>
          <w:sz w:val="24"/>
          <w:szCs w:val="24"/>
          <w:lang w:val="en-US"/>
        </w:rPr>
        <w:t xml:space="preserve">4.POST-INCIDENTACTIVITY                       </w:t>
      </w:r>
      <w:r>
        <w:br w:type="textWrapping"/>
      </w:r>
      <w:r>
        <w:rPr>
          <w:rFonts w:ascii="Consolas" w:hAnsi="Consolas" w:eastAsia="Consolas" w:cs="Consolas"/>
          <w:sz w:val="24"/>
          <w:szCs w:val="24"/>
          <w:lang w:val="en-US"/>
        </w:rPr>
        <w:t xml:space="preserve">  (Lessons Learned, Root Cause Analysis, CTI Feed Update, </w:t>
      </w:r>
      <w:bookmarkStart w:id="3" w:name="_Int_in2yVXAS"/>
      <w:r>
        <w:rPr>
          <w:rFonts w:ascii="Consolas" w:hAnsi="Consolas" w:eastAsia="Consolas" w:cs="Consolas"/>
          <w:sz w:val="24"/>
          <w:szCs w:val="24"/>
          <w:lang w:val="en-US"/>
        </w:rPr>
        <w:t xml:space="preserve">Reporting) </w:t>
      </w:r>
      <w:bookmarkEnd w:id="3"/>
      <w:r>
        <w:br w:type="textWrapping"/>
      </w:r>
    </w:p>
    <w:p w14:paraId="6C9E4B64">
      <w:pPr>
        <w:keepNext w:val="0"/>
        <w:keepLines w:val="0"/>
        <w:bidi w:val="0"/>
        <w:spacing w:before="0" w:beforeAutospacing="0" w:after="0" w:afterAutospacing="0" w:line="360" w:lineRule="auto"/>
        <w:ind w:right="-288"/>
        <w:jc w:val="both"/>
        <w:rPr>
          <w:rFonts w:ascii="Aptos" w:hAnsi="Aptos" w:eastAsia="Aptos" w:cs="Aptos"/>
          <w:b/>
          <w:bCs/>
          <w:i/>
          <w:iCs/>
          <w:color w:val="0F9ED5" w:themeColor="accent4" w:themeTint="FF"/>
          <w:sz w:val="24"/>
          <w:szCs w:val="24"/>
          <w:lang w:val="en-US"/>
          <w14:textFill>
            <w14:solidFill>
              <w14:schemeClr w14:val="accent4">
                <w14:lumMod w14:val="100000"/>
                <w14:lumOff w14:val="0"/>
              </w14:schemeClr>
            </w14:solidFill>
          </w14:textFill>
        </w:rPr>
      </w:pPr>
      <w:r>
        <w:rPr>
          <w:rFonts w:ascii="Aptos" w:hAnsi="Aptos" w:eastAsia="Aptos" w:cs="Aptos"/>
          <w:b/>
          <w:bCs/>
          <w:i/>
          <w:iCs/>
          <w:color w:val="0F9ED5" w:themeColor="accent4" w:themeTint="FF"/>
          <w:sz w:val="24"/>
          <w:szCs w:val="24"/>
          <w:lang w:val="en-US"/>
          <w14:textFill>
            <w14:solidFill>
              <w14:schemeClr w14:val="accent4">
                <w14:lumMod w14:val="100000"/>
                <w14:lumOff w14:val="0"/>
              </w14:schemeClr>
            </w14:solidFill>
          </w14:textFill>
        </w:rPr>
        <w:t>Phase 1: Preparation</w:t>
      </w:r>
    </w:p>
    <w:p w14:paraId="453EB742">
      <w:pPr>
        <w:pStyle w:val="8"/>
        <w:keepNext w:val="0"/>
        <w:keepLines w:val="0"/>
        <w:numPr>
          <w:ilvl w:val="0"/>
          <w:numId w:val="3"/>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Tooling:</w:t>
      </w:r>
      <w:r>
        <w:rPr>
          <w:rFonts w:ascii="Aptos" w:hAnsi="Aptos" w:eastAsia="Aptos" w:cs="Aptos"/>
          <w:sz w:val="24"/>
          <w:szCs w:val="24"/>
          <w:lang w:val="en-US"/>
        </w:rPr>
        <w:t xml:space="preserve"> Centralized SIEM (Wazuh/Elasticsearch), EDR agents deployed on all server endpoints, Network Detection &amp; Response (NDR).</w:t>
      </w:r>
    </w:p>
    <w:p w14:paraId="1C2081F5">
      <w:pPr>
        <w:pStyle w:val="8"/>
        <w:keepNext w:val="0"/>
        <w:keepLines w:val="0"/>
        <w:numPr>
          <w:ilvl w:val="0"/>
          <w:numId w:val="3"/>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Backup Strategy:</w:t>
      </w:r>
      <w:r>
        <w:rPr>
          <w:rFonts w:ascii="Aptos" w:hAnsi="Aptos" w:eastAsia="Aptos" w:cs="Aptos"/>
          <w:sz w:val="24"/>
          <w:szCs w:val="24"/>
          <w:lang w:val="en-US"/>
        </w:rPr>
        <w:t xml:space="preserve"> Immutable, air-gapped hourly snapshots of databases and configurations using </w:t>
      </w:r>
      <w:bookmarkStart w:id="4" w:name="_Int_mj5Q44MR"/>
      <w:r>
        <w:rPr>
          <w:rFonts w:ascii="Aptos" w:hAnsi="Aptos" w:eastAsia="Aptos" w:cs="Aptos"/>
          <w:sz w:val="24"/>
          <w:szCs w:val="24"/>
          <w:lang w:val="en-US"/>
        </w:rPr>
        <w:t>3-</w:t>
      </w:r>
      <w:bookmarkEnd w:id="4"/>
      <w:r>
        <w:rPr>
          <w:rFonts w:ascii="Aptos" w:hAnsi="Aptos" w:eastAsia="Aptos" w:cs="Aptos"/>
          <w:sz w:val="24"/>
          <w:szCs w:val="24"/>
          <w:lang w:val="en-US"/>
        </w:rPr>
        <w:t>2-1 backup rule.</w:t>
      </w:r>
    </w:p>
    <w:p w14:paraId="122336E3">
      <w:pPr>
        <w:pStyle w:val="8"/>
        <w:keepNext w:val="0"/>
        <w:keepLines w:val="0"/>
        <w:numPr>
          <w:ilvl w:val="0"/>
          <w:numId w:val="3"/>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Compliance:</w:t>
      </w:r>
      <w:r>
        <w:rPr>
          <w:rFonts w:ascii="Aptos" w:hAnsi="Aptos" w:eastAsia="Aptos" w:cs="Aptos"/>
          <w:sz w:val="24"/>
          <w:szCs w:val="24"/>
          <w:lang w:val="en-US"/>
        </w:rPr>
        <w:t xml:space="preserve"> Alignment with CERT-In mandatory incident reporting guidelines within required operational timelines.</w:t>
      </w:r>
    </w:p>
    <w:p w14:paraId="77A417C5">
      <w:pPr>
        <w:pStyle w:val="4"/>
        <w:keepNext w:val="0"/>
        <w:keepLines w:val="0"/>
        <w:bidi w:val="0"/>
        <w:spacing w:before="0" w:beforeAutospacing="0" w:after="319" w:afterAutospacing="0" w:line="360" w:lineRule="auto"/>
        <w:ind w:right="-288"/>
        <w:jc w:val="both"/>
      </w:pPr>
      <w:r>
        <w:rPr>
          <w:rFonts w:ascii="Aptos" w:hAnsi="Aptos" w:eastAsia="Aptos" w:cs="Aptos"/>
          <w:b/>
          <w:bCs/>
          <w:sz w:val="24"/>
          <w:szCs w:val="24"/>
          <w:lang w:val="en-US"/>
        </w:rPr>
        <w:t>Phase 2: Detection and Analysis</w:t>
      </w:r>
    </w:p>
    <w:p w14:paraId="5EEF3836">
      <w:pPr>
        <w:keepNext w:val="0"/>
        <w:keepLines w:val="0"/>
        <w:bidi w:val="0"/>
        <w:spacing w:before="0" w:beforeAutospacing="0" w:after="240" w:afterAutospacing="0" w:line="360" w:lineRule="auto"/>
        <w:ind w:right="-288"/>
        <w:jc w:val="both"/>
      </w:pPr>
      <w:r>
        <w:rPr>
          <w:rFonts w:ascii="Aptos" w:hAnsi="Aptos" w:eastAsia="Aptos" w:cs="Aptos"/>
          <w:sz w:val="24"/>
          <w:szCs w:val="24"/>
          <w:lang w:val="en-US"/>
        </w:rPr>
        <w:t>Incidents are triaged into four severity levels based on business impact:</w:t>
      </w:r>
    </w:p>
    <w:p w14:paraId="2AA7DB5B">
      <w:pPr>
        <w:pStyle w:val="8"/>
        <w:keepNext w:val="0"/>
        <w:keepLines w:val="0"/>
        <w:numPr>
          <w:ilvl w:val="0"/>
          <w:numId w:val="4"/>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Low (P4):</w:t>
      </w:r>
      <w:r>
        <w:rPr>
          <w:rFonts w:ascii="Aptos" w:hAnsi="Aptos" w:eastAsia="Aptos" w:cs="Aptos"/>
          <w:sz w:val="24"/>
          <w:szCs w:val="24"/>
          <w:lang w:val="en-US"/>
        </w:rPr>
        <w:t xml:space="preserve"> Isolated malware on non-critical </w:t>
      </w:r>
      <w:bookmarkStart w:id="5" w:name="_Int_WkXTcjIl"/>
      <w:r>
        <w:rPr>
          <w:rFonts w:ascii="Aptos" w:hAnsi="Aptos" w:eastAsia="Aptos" w:cs="Aptos"/>
          <w:sz w:val="24"/>
          <w:szCs w:val="24"/>
          <w:lang w:val="en-US"/>
        </w:rPr>
        <w:t>endpoint</w:t>
      </w:r>
      <w:bookmarkEnd w:id="5"/>
      <w:r>
        <w:rPr>
          <w:rFonts w:ascii="Aptos" w:hAnsi="Aptos" w:eastAsia="Aptos" w:cs="Aptos"/>
          <w:sz w:val="24"/>
          <w:szCs w:val="24"/>
          <w:lang w:val="en-US"/>
        </w:rPr>
        <w:t>; routine port scans.</w:t>
      </w:r>
    </w:p>
    <w:p w14:paraId="2F5F39E7">
      <w:pPr>
        <w:pStyle w:val="8"/>
        <w:keepNext w:val="0"/>
        <w:keepLines w:val="0"/>
        <w:numPr>
          <w:ilvl w:val="0"/>
          <w:numId w:val="4"/>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Medium (P3):</w:t>
      </w:r>
      <w:r>
        <w:rPr>
          <w:rFonts w:ascii="Aptos" w:hAnsi="Aptos" w:eastAsia="Aptos" w:cs="Aptos"/>
          <w:sz w:val="24"/>
          <w:szCs w:val="24"/>
          <w:lang w:val="en-US"/>
        </w:rPr>
        <w:t xml:space="preserve"> Account compromise of standard operator; localized web defacement attempt blocked.</w:t>
      </w:r>
    </w:p>
    <w:p w14:paraId="7E34B1DD">
      <w:pPr>
        <w:pStyle w:val="8"/>
        <w:keepNext w:val="0"/>
        <w:keepLines w:val="0"/>
        <w:numPr>
          <w:ilvl w:val="0"/>
          <w:numId w:val="4"/>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High (P2):</w:t>
      </w:r>
      <w:r>
        <w:rPr>
          <w:rFonts w:ascii="Aptos" w:hAnsi="Aptos" w:eastAsia="Aptos" w:cs="Aptos"/>
          <w:sz w:val="24"/>
          <w:szCs w:val="24"/>
          <w:lang w:val="en-US"/>
        </w:rPr>
        <w:t xml:space="preserve"> Multi-system ransomware outbreak without domain controller compromise; active data exfiltration attempt on non-sensitive service.</w:t>
      </w:r>
    </w:p>
    <w:p w14:paraId="45FC76A8">
      <w:pPr>
        <w:pStyle w:val="8"/>
        <w:keepNext w:val="0"/>
        <w:keepLines w:val="0"/>
        <w:numPr>
          <w:ilvl w:val="0"/>
          <w:numId w:val="4"/>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Critical (P1):</w:t>
      </w:r>
      <w:r>
        <w:rPr>
          <w:rFonts w:ascii="Aptos" w:hAnsi="Aptos" w:eastAsia="Aptos" w:cs="Aptos"/>
          <w:sz w:val="24"/>
          <w:szCs w:val="24"/>
          <w:lang w:val="en-US"/>
        </w:rPr>
        <w:t xml:space="preserve"> Compromise of Master Citizen Database, Domain Controller breach, ongoing ransomware encryption across production networks, critical portal offline.</w:t>
      </w:r>
    </w:p>
    <w:p w14:paraId="1BCBD68C">
      <w:pPr>
        <w:pStyle w:val="4"/>
        <w:keepNext w:val="0"/>
        <w:keepLines w:val="0"/>
        <w:bidi w:val="0"/>
        <w:spacing w:before="0" w:beforeAutospacing="0" w:after="319" w:afterAutospacing="0" w:line="360" w:lineRule="auto"/>
        <w:ind w:right="-288"/>
        <w:jc w:val="both"/>
      </w:pPr>
      <w:r>
        <w:rPr>
          <w:rFonts w:ascii="Aptos" w:hAnsi="Aptos" w:eastAsia="Aptos" w:cs="Aptos"/>
          <w:b/>
          <w:bCs/>
          <w:sz w:val="24"/>
          <w:szCs w:val="24"/>
          <w:lang w:val="en-US"/>
        </w:rPr>
        <w:t>Phase 3: Containment, Eradication, and Recovery</w:t>
      </w:r>
    </w:p>
    <w:p w14:paraId="1FB7AE60">
      <w:pPr>
        <w:pStyle w:val="8"/>
        <w:keepNext w:val="0"/>
        <w:keepLines w:val="0"/>
        <w:numPr>
          <w:ilvl w:val="0"/>
          <w:numId w:val="5"/>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Short-Term Containment:</w:t>
      </w:r>
      <w:r>
        <w:rPr>
          <w:rFonts w:ascii="Aptos" w:hAnsi="Aptos" w:eastAsia="Aptos" w:cs="Aptos"/>
          <w:sz w:val="24"/>
          <w:szCs w:val="24"/>
          <w:lang w:val="en-US"/>
        </w:rPr>
        <w:t xml:space="preserve"> Isolate affected VLANs/Subnets via firewall rules; revoke compromised active directory user sessions; disable affected API tokens.</w:t>
      </w:r>
    </w:p>
    <w:p w14:paraId="476BA63E">
      <w:pPr>
        <w:pStyle w:val="8"/>
        <w:keepNext w:val="0"/>
        <w:keepLines w:val="0"/>
        <w:numPr>
          <w:ilvl w:val="0"/>
          <w:numId w:val="5"/>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Long-Term Containment:</w:t>
      </w:r>
      <w:r>
        <w:rPr>
          <w:rFonts w:ascii="Aptos" w:hAnsi="Aptos" w:eastAsia="Aptos" w:cs="Aptos"/>
          <w:sz w:val="24"/>
          <w:szCs w:val="24"/>
          <w:lang w:val="en-US"/>
        </w:rPr>
        <w:t xml:space="preserve"> Apply temporary emergency network micro-segmentation; deploy host-based isolation routines; issue emergency patch sets.</w:t>
      </w:r>
    </w:p>
    <w:p w14:paraId="58A6D08F">
      <w:pPr>
        <w:pStyle w:val="8"/>
        <w:keepNext w:val="0"/>
        <w:keepLines w:val="0"/>
        <w:numPr>
          <w:ilvl w:val="0"/>
          <w:numId w:val="5"/>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Eradication:</w:t>
      </w:r>
      <w:r>
        <w:rPr>
          <w:rFonts w:ascii="Aptos" w:hAnsi="Aptos" w:eastAsia="Aptos" w:cs="Aptos"/>
          <w:sz w:val="24"/>
          <w:szCs w:val="24"/>
          <w:lang w:val="en-US"/>
        </w:rPr>
        <w:t xml:space="preserve"> Wipe infected virtual machines; restore systems from validated pre-incident clean gold images; conduct full vulnerability scans on clean infrastructure.</w:t>
      </w:r>
    </w:p>
    <w:p w14:paraId="6FF67C79">
      <w:pPr>
        <w:pStyle w:val="8"/>
        <w:keepNext w:val="0"/>
        <w:keepLines w:val="0"/>
        <w:numPr>
          <w:ilvl w:val="0"/>
          <w:numId w:val="5"/>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b/>
          <w:bCs/>
          <w:sz w:val="24"/>
          <w:szCs w:val="24"/>
          <w:lang w:val="en-US"/>
        </w:rPr>
        <w:t>Recovery:</w:t>
      </w:r>
      <w:r>
        <w:rPr>
          <w:rFonts w:ascii="Aptos" w:hAnsi="Aptos" w:eastAsia="Aptos" w:cs="Aptos"/>
          <w:sz w:val="24"/>
          <w:szCs w:val="24"/>
          <w:lang w:val="en-US"/>
        </w:rPr>
        <w:t xml:space="preserve"> Re-build infrastructure via infrastructure-as-code scripts; restore data from verified clean backups; enforce mandatory password reset across affected units; resume public traffic gradually with enhanced monitoring.</w:t>
      </w:r>
    </w:p>
    <w:p w14:paraId="194A6DC8">
      <w:pPr>
        <w:pStyle w:val="4"/>
        <w:keepNext w:val="0"/>
        <w:keepLines w:val="0"/>
        <w:bidi w:val="0"/>
        <w:spacing w:before="0" w:beforeAutospacing="0" w:after="319" w:afterAutospacing="0" w:line="360" w:lineRule="auto"/>
        <w:ind w:right="-288"/>
        <w:jc w:val="both"/>
      </w:pPr>
      <w:r>
        <w:rPr>
          <w:rFonts w:ascii="Aptos" w:hAnsi="Aptos" w:eastAsia="Aptos" w:cs="Aptos"/>
          <w:b/>
          <w:bCs/>
          <w:sz w:val="24"/>
          <w:szCs w:val="24"/>
          <w:lang w:val="en-US"/>
        </w:rPr>
        <w:t>Phase 4: Post-Incident Activity</w:t>
      </w:r>
    </w:p>
    <w:p w14:paraId="18C717BE">
      <w:pPr>
        <w:pStyle w:val="8"/>
        <w:keepNext w:val="0"/>
        <w:keepLines w:val="0"/>
        <w:numPr>
          <w:ilvl w:val="0"/>
          <w:numId w:val="6"/>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Conduct formal </w:t>
      </w:r>
      <w:r>
        <w:rPr>
          <w:rFonts w:ascii="Aptos" w:hAnsi="Aptos" w:eastAsia="Aptos" w:cs="Aptos"/>
          <w:b/>
          <w:bCs/>
          <w:sz w:val="24"/>
          <w:szCs w:val="24"/>
          <w:lang w:val="en-US"/>
        </w:rPr>
        <w:t>Lessons Learned</w:t>
      </w:r>
      <w:r>
        <w:rPr>
          <w:rFonts w:ascii="Aptos" w:hAnsi="Aptos" w:eastAsia="Aptos" w:cs="Aptos"/>
          <w:sz w:val="24"/>
          <w:szCs w:val="24"/>
          <w:lang w:val="en-US"/>
        </w:rPr>
        <w:t xml:space="preserve"> session within 72 hours of incident closure.</w:t>
      </w:r>
    </w:p>
    <w:p w14:paraId="40BCFEF9">
      <w:pPr>
        <w:pStyle w:val="8"/>
        <w:keepNext w:val="0"/>
        <w:keepLines w:val="0"/>
        <w:numPr>
          <w:ilvl w:val="0"/>
          <w:numId w:val="6"/>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Draft </w:t>
      </w:r>
      <w:r>
        <w:rPr>
          <w:rFonts w:ascii="Aptos" w:hAnsi="Aptos" w:eastAsia="Aptos" w:cs="Aptos"/>
          <w:b/>
          <w:bCs/>
          <w:sz w:val="24"/>
          <w:szCs w:val="24"/>
          <w:lang w:val="en-US"/>
        </w:rPr>
        <w:t>Root Cause Analysis (RCA)</w:t>
      </w:r>
      <w:r>
        <w:rPr>
          <w:rFonts w:ascii="Aptos" w:hAnsi="Aptos" w:eastAsia="Aptos" w:cs="Aptos"/>
          <w:sz w:val="24"/>
          <w:szCs w:val="24"/>
          <w:lang w:val="en-US"/>
        </w:rPr>
        <w:t xml:space="preserve"> report specifying initial entry vector, timeline, blast radius, and remediation recommendations.</w:t>
      </w:r>
    </w:p>
    <w:p w14:paraId="416130FD">
      <w:pPr>
        <w:pStyle w:val="8"/>
        <w:keepNext w:val="0"/>
        <w:keepLines w:val="0"/>
        <w:numPr>
          <w:ilvl w:val="0"/>
          <w:numId w:val="6"/>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Update SIEM detection rules, threat signatures, and response playbooks based on newly discovered Indicators of Compromise (IoCs).</w:t>
      </w:r>
    </w:p>
    <w:p w14:paraId="68847F01">
      <w:pPr>
        <w:pStyle w:val="3"/>
        <w:keepNext w:val="0"/>
        <w:keepLines w:val="0"/>
        <w:bidi w:val="0"/>
        <w:spacing w:before="0" w:beforeAutospacing="0" w:after="281" w:afterAutospacing="0" w:line="360" w:lineRule="auto"/>
        <w:ind w:right="-288"/>
        <w:jc w:val="both"/>
        <w:rPr>
          <w:rFonts w:ascii="Aptos" w:hAnsi="Aptos" w:eastAsia="Aptos" w:cs="Aptos"/>
          <w:b/>
          <w:bCs/>
          <w:sz w:val="28"/>
          <w:szCs w:val="28"/>
          <w:lang w:val="en-US"/>
        </w:rPr>
      </w:pPr>
    </w:p>
    <w:p w14:paraId="39013F07">
      <w:pPr>
        <w:pStyle w:val="3"/>
        <w:keepNext w:val="0"/>
        <w:keepLines w:val="0"/>
        <w:bidi w:val="0"/>
        <w:spacing w:before="0" w:beforeAutospacing="0" w:after="281" w:afterAutospacing="0" w:line="360" w:lineRule="auto"/>
        <w:ind w:right="-288"/>
        <w:jc w:val="both"/>
        <w:rPr>
          <w:rFonts w:ascii="Aptos" w:hAnsi="Aptos" w:eastAsia="Aptos" w:cs="Aptos"/>
          <w:b/>
          <w:bCs/>
          <w:sz w:val="28"/>
          <w:szCs w:val="28"/>
          <w:lang w:val="en-US"/>
        </w:rPr>
      </w:pPr>
    </w:p>
    <w:p w14:paraId="2CDA3F2B">
      <w:pPr>
        <w:pStyle w:val="3"/>
        <w:keepNext w:val="0"/>
        <w:keepLines w:val="0"/>
        <w:bidi w:val="0"/>
        <w:spacing w:before="0" w:beforeAutospacing="0" w:after="281" w:afterAutospacing="0" w:line="360" w:lineRule="auto"/>
        <w:ind w:right="-288"/>
        <w:jc w:val="both"/>
      </w:pPr>
      <w:r>
        <w:rPr>
          <w:rFonts w:ascii="Aptos" w:hAnsi="Aptos" w:eastAsia="Aptos" w:cs="Aptos"/>
          <w:b/>
          <w:bCs/>
          <w:sz w:val="28"/>
          <w:szCs w:val="28"/>
          <w:lang w:val="en-US"/>
        </w:rPr>
        <w:t>Section 3: Roles and Responsibilities (Incident Response Team Matrix)</w:t>
      </w:r>
    </w:p>
    <w:tbl>
      <w:tblPr>
        <w:tblStyle w:val="6"/>
        <w:tblW w:w="0" w:type="auto"/>
        <w:tblInd w:w="0" w:type="dxa"/>
        <w:tblLayout w:type="autofit"/>
        <w:tblCellMar>
          <w:top w:w="0" w:type="dxa"/>
          <w:left w:w="108" w:type="dxa"/>
          <w:bottom w:w="0" w:type="dxa"/>
          <w:right w:w="108" w:type="dxa"/>
        </w:tblCellMar>
      </w:tblPr>
      <w:tblGrid>
        <w:gridCol w:w="2370"/>
        <w:gridCol w:w="5325"/>
        <w:gridCol w:w="1783"/>
      </w:tblGrid>
      <w:tr w14:paraId="4FF8987A">
        <w:tblPrEx>
          <w:tblCellMar>
            <w:top w:w="0" w:type="dxa"/>
            <w:left w:w="108" w:type="dxa"/>
            <w:bottom w:w="0" w:type="dxa"/>
            <w:right w:w="108" w:type="dxa"/>
          </w:tblCellMar>
        </w:tblPrEx>
        <w:trPr>
          <w:trHeight w:val="300" w:hRule="atLeast"/>
        </w:trPr>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9B950D8">
            <w:pPr>
              <w:keepNext w:val="0"/>
              <w:keepLines w:val="0"/>
              <w:bidi w:val="0"/>
              <w:spacing w:before="0" w:beforeAutospacing="0" w:after="0" w:afterAutospacing="0" w:line="360" w:lineRule="auto"/>
              <w:ind w:right="-288"/>
              <w:jc w:val="both"/>
            </w:pPr>
            <w:r>
              <w:rPr>
                <w:b/>
                <w:bCs/>
              </w:rPr>
              <w:t>Role</w:t>
            </w:r>
          </w:p>
        </w:tc>
        <w:tc>
          <w:tcPr>
            <w:tcW w:w="53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E742B67">
            <w:pPr>
              <w:keepNext w:val="0"/>
              <w:keepLines w:val="0"/>
              <w:bidi w:val="0"/>
              <w:spacing w:before="0" w:beforeAutospacing="0" w:after="0" w:afterAutospacing="0" w:line="360" w:lineRule="auto"/>
              <w:ind w:right="-288"/>
              <w:jc w:val="both"/>
            </w:pPr>
            <w:r>
              <w:rPr>
                <w:b/>
                <w:bCs/>
              </w:rPr>
              <w:t>Primary Responsibility</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33E986F">
            <w:pPr>
              <w:keepNext w:val="0"/>
              <w:keepLines w:val="0"/>
              <w:bidi w:val="0"/>
              <w:spacing w:before="0" w:beforeAutospacing="0" w:after="0" w:afterAutospacing="0" w:line="360" w:lineRule="auto"/>
              <w:ind w:right="-288"/>
              <w:jc w:val="both"/>
            </w:pPr>
            <w:r>
              <w:rPr>
                <w:b/>
                <w:bCs/>
              </w:rPr>
              <w:t>Contact Escalation</w:t>
            </w:r>
          </w:p>
        </w:tc>
      </w:tr>
      <w:tr w14:paraId="418B8242">
        <w:tblPrEx>
          <w:tblCellMar>
            <w:top w:w="0" w:type="dxa"/>
            <w:left w:w="108" w:type="dxa"/>
            <w:bottom w:w="0" w:type="dxa"/>
            <w:right w:w="108" w:type="dxa"/>
          </w:tblCellMar>
        </w:tblPrEx>
        <w:trPr>
          <w:trHeight w:val="1305" w:hRule="atLeast"/>
        </w:trPr>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8B5413B">
            <w:pPr>
              <w:keepNext w:val="0"/>
              <w:keepLines w:val="0"/>
              <w:bidi w:val="0"/>
              <w:spacing w:before="0" w:beforeAutospacing="0" w:after="0" w:afterAutospacing="0" w:line="360" w:lineRule="auto"/>
              <w:ind w:right="-288"/>
              <w:jc w:val="both"/>
            </w:pPr>
            <w:r>
              <w:rPr>
                <w:b/>
                <w:bCs/>
              </w:rPr>
              <w:t>Incident Commander (IC)</w:t>
            </w:r>
          </w:p>
        </w:tc>
        <w:tc>
          <w:tcPr>
            <w:tcW w:w="53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46BF94D">
            <w:pPr>
              <w:keepNext w:val="0"/>
              <w:keepLines w:val="0"/>
              <w:bidi w:val="0"/>
              <w:spacing w:before="0" w:beforeAutospacing="0" w:after="0" w:afterAutospacing="0" w:line="360" w:lineRule="auto"/>
              <w:ind w:right="-288"/>
              <w:jc w:val="both"/>
            </w:pPr>
            <w:r>
              <w:t xml:space="preserve">Directs overall incident containment </w:t>
            </w:r>
          </w:p>
          <w:p w14:paraId="40DF887B">
            <w:pPr>
              <w:keepNext w:val="0"/>
              <w:keepLines w:val="0"/>
              <w:bidi w:val="0"/>
              <w:spacing w:before="0" w:beforeAutospacing="0" w:after="0" w:afterAutospacing="0" w:line="360" w:lineRule="auto"/>
              <w:ind w:right="-288"/>
              <w:jc w:val="both"/>
            </w:pPr>
            <w:r>
              <w:t xml:space="preserve">operations; makes critical business </w:t>
            </w:r>
          </w:p>
          <w:p w14:paraId="5074F3C3">
            <w:pPr>
              <w:keepNext w:val="0"/>
              <w:keepLines w:val="0"/>
              <w:bidi w:val="0"/>
              <w:spacing w:before="0" w:beforeAutospacing="0" w:after="0" w:afterAutospacing="0" w:line="360" w:lineRule="auto"/>
              <w:ind w:right="-288"/>
              <w:jc w:val="both"/>
            </w:pPr>
            <w:r>
              <w:t>isolation decisions</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F7E389">
            <w:pPr>
              <w:keepNext w:val="0"/>
              <w:keepLines w:val="0"/>
              <w:bidi w:val="0"/>
              <w:spacing w:before="0" w:beforeAutospacing="0" w:after="0" w:afterAutospacing="0" w:line="360" w:lineRule="auto"/>
              <w:ind w:right="-288"/>
              <w:jc w:val="both"/>
            </w:pPr>
            <w:r>
              <w:t xml:space="preserve">Immediate </w:t>
            </w:r>
          </w:p>
          <w:p w14:paraId="3382BF15">
            <w:pPr>
              <w:keepNext w:val="0"/>
              <w:keepLines w:val="0"/>
              <w:bidi w:val="0"/>
              <w:spacing w:before="0" w:beforeAutospacing="0" w:after="0" w:afterAutospacing="0" w:line="360" w:lineRule="auto"/>
              <w:ind w:right="-288"/>
              <w:jc w:val="both"/>
            </w:pPr>
            <w:r>
              <w:t xml:space="preserve">notification for </w:t>
            </w:r>
          </w:p>
          <w:p w14:paraId="383D356C">
            <w:pPr>
              <w:keepNext w:val="0"/>
              <w:keepLines w:val="0"/>
              <w:bidi w:val="0"/>
              <w:spacing w:before="0" w:beforeAutospacing="0" w:after="0" w:afterAutospacing="0" w:line="360" w:lineRule="auto"/>
              <w:ind w:right="-288"/>
              <w:jc w:val="both"/>
            </w:pPr>
            <w:r>
              <w:t>Level P1/P2</w:t>
            </w:r>
          </w:p>
        </w:tc>
      </w:tr>
      <w:tr w14:paraId="30A7C544">
        <w:tblPrEx>
          <w:tblCellMar>
            <w:top w:w="0" w:type="dxa"/>
            <w:left w:w="108" w:type="dxa"/>
            <w:bottom w:w="0" w:type="dxa"/>
            <w:right w:w="108" w:type="dxa"/>
          </w:tblCellMar>
        </w:tblPrEx>
        <w:trPr>
          <w:trHeight w:val="1185" w:hRule="atLeast"/>
        </w:trPr>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E40E6A">
            <w:pPr>
              <w:keepNext w:val="0"/>
              <w:keepLines w:val="0"/>
              <w:bidi w:val="0"/>
              <w:spacing w:before="0" w:beforeAutospacing="0" w:after="0" w:afterAutospacing="0" w:line="360" w:lineRule="auto"/>
              <w:ind w:right="-288"/>
              <w:jc w:val="both"/>
            </w:pPr>
            <w:r>
              <w:rPr>
                <w:b/>
                <w:bCs/>
              </w:rPr>
              <w:t xml:space="preserve">Lead </w:t>
            </w:r>
          </w:p>
          <w:p w14:paraId="43A957D9">
            <w:pPr>
              <w:keepNext w:val="0"/>
              <w:keepLines w:val="0"/>
              <w:bidi w:val="0"/>
              <w:spacing w:before="0" w:beforeAutospacing="0" w:after="0" w:afterAutospacing="0" w:line="360" w:lineRule="auto"/>
              <w:ind w:right="-288"/>
              <w:jc w:val="both"/>
            </w:pPr>
            <w:r>
              <w:rPr>
                <w:b/>
                <w:bCs/>
              </w:rPr>
              <w:t>Technical Analyst</w:t>
            </w:r>
          </w:p>
        </w:tc>
        <w:tc>
          <w:tcPr>
            <w:tcW w:w="53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7337396">
            <w:pPr>
              <w:keepNext w:val="0"/>
              <w:keepLines w:val="0"/>
              <w:bidi w:val="0"/>
              <w:spacing w:before="0" w:beforeAutospacing="0" w:after="0" w:afterAutospacing="0" w:line="360" w:lineRule="auto"/>
              <w:ind w:right="-288"/>
              <w:jc w:val="both"/>
            </w:pPr>
            <w:r>
              <w:t xml:space="preserve">Conducts forensic triage, log analysis, </w:t>
            </w:r>
          </w:p>
          <w:p w14:paraId="271DEC9C">
            <w:pPr>
              <w:keepNext w:val="0"/>
              <w:keepLines w:val="0"/>
              <w:bidi w:val="0"/>
              <w:spacing w:before="0" w:beforeAutospacing="0" w:after="0" w:afterAutospacing="0" w:line="360" w:lineRule="auto"/>
              <w:ind w:right="-288"/>
              <w:jc w:val="both"/>
            </w:pPr>
            <w:r>
              <w:t xml:space="preserve">malware reversal, and root cause </w:t>
            </w:r>
          </w:p>
          <w:p w14:paraId="5945B836">
            <w:pPr>
              <w:keepNext w:val="0"/>
              <w:keepLines w:val="0"/>
              <w:bidi w:val="0"/>
              <w:spacing w:before="0" w:beforeAutospacing="0" w:after="0" w:afterAutospacing="0" w:line="360" w:lineRule="auto"/>
              <w:ind w:right="-288"/>
              <w:jc w:val="both"/>
            </w:pPr>
            <w:r>
              <w:t>investigation</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9725C5F">
            <w:pPr>
              <w:keepNext w:val="0"/>
              <w:keepLines w:val="0"/>
              <w:bidi w:val="0"/>
              <w:spacing w:before="0" w:beforeAutospacing="0" w:after="0" w:afterAutospacing="0" w:line="360" w:lineRule="auto"/>
              <w:ind w:right="-288"/>
              <w:jc w:val="both"/>
            </w:pPr>
            <w:r>
              <w:t xml:space="preserve">Leads </w:t>
            </w:r>
          </w:p>
          <w:p w14:paraId="42A322AF">
            <w:pPr>
              <w:keepNext w:val="0"/>
              <w:keepLines w:val="0"/>
              <w:bidi w:val="0"/>
              <w:spacing w:before="0" w:beforeAutospacing="0" w:after="0" w:afterAutospacing="0" w:line="360" w:lineRule="auto"/>
              <w:ind w:right="-288"/>
              <w:jc w:val="both"/>
            </w:pPr>
            <w:r>
              <w:t>technical execution</w:t>
            </w:r>
          </w:p>
        </w:tc>
      </w:tr>
      <w:tr w14:paraId="0C08CC2F">
        <w:tblPrEx>
          <w:tblCellMar>
            <w:top w:w="0" w:type="dxa"/>
            <w:left w:w="108" w:type="dxa"/>
            <w:bottom w:w="0" w:type="dxa"/>
            <w:right w:w="108" w:type="dxa"/>
          </w:tblCellMar>
        </w:tblPrEx>
        <w:trPr>
          <w:trHeight w:val="1605" w:hRule="atLeast"/>
        </w:trPr>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0D7146">
            <w:pPr>
              <w:keepNext w:val="0"/>
              <w:keepLines w:val="0"/>
              <w:bidi w:val="0"/>
              <w:spacing w:before="0" w:beforeAutospacing="0" w:after="0" w:afterAutospacing="0" w:line="360" w:lineRule="auto"/>
              <w:ind w:right="-288"/>
              <w:jc w:val="both"/>
            </w:pPr>
            <w:r>
              <w:rPr>
                <w:b/>
                <w:bCs/>
              </w:rPr>
              <w:t xml:space="preserve">Network </w:t>
            </w:r>
          </w:p>
          <w:p w14:paraId="51DCB0E1">
            <w:pPr>
              <w:keepNext w:val="0"/>
              <w:keepLines w:val="0"/>
              <w:bidi w:val="0"/>
              <w:spacing w:before="0" w:beforeAutospacing="0" w:after="0" w:afterAutospacing="0" w:line="360" w:lineRule="auto"/>
              <w:ind w:right="-288"/>
              <w:jc w:val="both"/>
            </w:pPr>
            <w:r>
              <w:rPr>
                <w:b/>
                <w:bCs/>
              </w:rPr>
              <w:t>Security Engineer</w:t>
            </w:r>
          </w:p>
        </w:tc>
        <w:tc>
          <w:tcPr>
            <w:tcW w:w="53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350199">
            <w:pPr>
              <w:keepNext w:val="0"/>
              <w:keepLines w:val="0"/>
              <w:bidi w:val="0"/>
              <w:spacing w:before="0" w:beforeAutospacing="0" w:after="0" w:afterAutospacing="0" w:line="360" w:lineRule="auto"/>
              <w:ind w:right="-288"/>
              <w:jc w:val="both"/>
            </w:pPr>
            <w:r>
              <w:t xml:space="preserve">Executes network isolation rules, firewall </w:t>
            </w:r>
          </w:p>
          <w:p w14:paraId="6D968C07">
            <w:pPr>
              <w:keepNext w:val="0"/>
              <w:keepLines w:val="0"/>
              <w:bidi w:val="0"/>
              <w:spacing w:before="0" w:beforeAutospacing="0" w:after="0" w:afterAutospacing="0" w:line="360" w:lineRule="auto"/>
              <w:ind w:right="-288"/>
              <w:jc w:val="both"/>
            </w:pPr>
            <w:r>
              <w:t>tweaks, and traffic rerouting</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1AB1CB9">
            <w:pPr>
              <w:keepNext w:val="0"/>
              <w:keepLines w:val="0"/>
              <w:bidi w:val="0"/>
              <w:spacing w:before="0" w:beforeAutospacing="0" w:after="0" w:afterAutospacing="0" w:line="360" w:lineRule="auto"/>
              <w:ind w:right="-288"/>
              <w:jc w:val="both"/>
            </w:pPr>
            <w:r>
              <w:t xml:space="preserve">Implements </w:t>
            </w:r>
          </w:p>
          <w:p w14:paraId="390DC8DF">
            <w:pPr>
              <w:keepNext w:val="0"/>
              <w:keepLines w:val="0"/>
              <w:bidi w:val="0"/>
              <w:spacing w:before="0" w:beforeAutospacing="0" w:after="0" w:afterAutospacing="0" w:line="360" w:lineRule="auto"/>
              <w:ind w:right="-288"/>
              <w:jc w:val="both"/>
            </w:pPr>
            <w:r>
              <w:t xml:space="preserve">immediate </w:t>
            </w:r>
          </w:p>
          <w:p w14:paraId="123283ED">
            <w:pPr>
              <w:keepNext w:val="0"/>
              <w:keepLines w:val="0"/>
              <w:bidi w:val="0"/>
              <w:spacing w:before="0" w:beforeAutospacing="0" w:after="0" w:afterAutospacing="0" w:line="360" w:lineRule="auto"/>
              <w:ind w:right="-288"/>
              <w:jc w:val="both"/>
            </w:pPr>
            <w:r>
              <w:t>network containment</w:t>
            </w:r>
          </w:p>
        </w:tc>
      </w:tr>
      <w:tr w14:paraId="39A54007">
        <w:tblPrEx>
          <w:tblCellMar>
            <w:top w:w="0" w:type="dxa"/>
            <w:left w:w="108" w:type="dxa"/>
            <w:bottom w:w="0" w:type="dxa"/>
            <w:right w:w="108" w:type="dxa"/>
          </w:tblCellMar>
        </w:tblPrEx>
        <w:trPr>
          <w:trHeight w:val="1843" w:hRule="atLeast"/>
        </w:trPr>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FF7C5A1">
            <w:pPr>
              <w:keepNext w:val="0"/>
              <w:keepLines w:val="0"/>
              <w:bidi w:val="0"/>
              <w:spacing w:before="0" w:beforeAutospacing="0" w:after="0" w:afterAutospacing="0" w:line="360" w:lineRule="auto"/>
              <w:ind w:right="-288"/>
              <w:jc w:val="both"/>
            </w:pPr>
            <w:r>
              <w:rPr>
                <w:b/>
                <w:bCs/>
              </w:rPr>
              <w:t>Communications Officer</w:t>
            </w:r>
          </w:p>
        </w:tc>
        <w:tc>
          <w:tcPr>
            <w:tcW w:w="53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B9DBEB4">
            <w:pPr>
              <w:keepNext w:val="0"/>
              <w:keepLines w:val="0"/>
              <w:bidi w:val="0"/>
              <w:spacing w:before="0" w:beforeAutospacing="0" w:after="0" w:afterAutospacing="0" w:line="360" w:lineRule="auto"/>
              <w:ind w:right="-288"/>
              <w:jc w:val="both"/>
            </w:pPr>
            <w:r>
              <w:t xml:space="preserve">Handles external public statements, </w:t>
            </w:r>
          </w:p>
          <w:p w14:paraId="0962550A">
            <w:pPr>
              <w:keepNext w:val="0"/>
              <w:keepLines w:val="0"/>
              <w:bidi w:val="0"/>
              <w:spacing w:before="0" w:beforeAutospacing="0" w:after="0" w:afterAutospacing="0" w:line="360" w:lineRule="auto"/>
              <w:ind w:right="-288"/>
              <w:jc w:val="both"/>
            </w:pPr>
            <w:r>
              <w:t>media inquiries, and legal notifications</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356B80">
            <w:pPr>
              <w:keepNext w:val="0"/>
              <w:keepLines w:val="0"/>
              <w:bidi w:val="0"/>
              <w:spacing w:before="0" w:beforeAutospacing="0" w:after="0" w:afterAutospacing="0" w:line="360" w:lineRule="auto"/>
              <w:ind w:right="-288"/>
              <w:jc w:val="both"/>
            </w:pPr>
            <w:r>
              <w:t xml:space="preserve">Handles </w:t>
            </w:r>
          </w:p>
          <w:p w14:paraId="70472BDA">
            <w:pPr>
              <w:keepNext w:val="0"/>
              <w:keepLines w:val="0"/>
              <w:bidi w:val="0"/>
              <w:spacing w:before="0" w:beforeAutospacing="0" w:after="0" w:afterAutospacing="0" w:line="360" w:lineRule="auto"/>
              <w:ind w:right="-288"/>
              <w:jc w:val="both"/>
            </w:pPr>
            <w:r>
              <w:t>citizen-facing notifications</w:t>
            </w:r>
          </w:p>
        </w:tc>
      </w:tr>
      <w:tr w14:paraId="14518B68">
        <w:tblPrEx>
          <w:tblCellMar>
            <w:top w:w="0" w:type="dxa"/>
            <w:left w:w="108" w:type="dxa"/>
            <w:bottom w:w="0" w:type="dxa"/>
            <w:right w:w="108" w:type="dxa"/>
          </w:tblCellMar>
        </w:tblPrEx>
        <w:trPr>
          <w:trHeight w:val="90" w:hRule="atLeast"/>
        </w:trPr>
        <w:tc>
          <w:tcPr>
            <w:tcW w:w="2370"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6840F4">
            <w:pPr>
              <w:keepNext w:val="0"/>
              <w:keepLines w:val="0"/>
              <w:bidi w:val="0"/>
              <w:spacing w:before="0" w:beforeAutospacing="0" w:after="0" w:afterAutospacing="0" w:line="360" w:lineRule="auto"/>
              <w:ind w:right="-288"/>
              <w:jc w:val="both"/>
            </w:pPr>
            <w:r>
              <w:rPr>
                <w:b/>
                <w:bCs/>
              </w:rPr>
              <w:t>Legal &amp; Compliance Advisor</w:t>
            </w:r>
          </w:p>
        </w:tc>
        <w:tc>
          <w:tcPr>
            <w:tcW w:w="5325"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3525198">
            <w:pPr>
              <w:keepNext w:val="0"/>
              <w:keepLines w:val="0"/>
              <w:bidi w:val="0"/>
              <w:spacing w:before="0" w:beforeAutospacing="0" w:after="0" w:afterAutospacing="0" w:line="360" w:lineRule="auto"/>
              <w:ind w:right="-288"/>
              <w:jc w:val="both"/>
            </w:pPr>
            <w:r>
              <w:t xml:space="preserve">Ensures regulatory compliance </w:t>
            </w:r>
          </w:p>
          <w:p w14:paraId="5A6EB9F9">
            <w:pPr>
              <w:keepNext w:val="0"/>
              <w:keepLines w:val="0"/>
              <w:bidi w:val="0"/>
              <w:spacing w:before="0" w:beforeAutospacing="0" w:after="0" w:afterAutospacing="0" w:line="360" w:lineRule="auto"/>
              <w:ind w:right="-288"/>
              <w:jc w:val="both"/>
            </w:pPr>
            <w:r>
              <w:t>(CERT-In reporting, data breach disclosures)</w:t>
            </w:r>
          </w:p>
        </w:tc>
        <w:tc>
          <w:tcPr>
            <w:tcW w:w="1783" w:type="dxa"/>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32F5AFF">
            <w:pPr>
              <w:keepNext w:val="0"/>
              <w:keepLines w:val="0"/>
              <w:bidi w:val="0"/>
              <w:spacing w:before="0" w:beforeAutospacing="0" w:after="0" w:afterAutospacing="0" w:line="360" w:lineRule="auto"/>
              <w:ind w:right="-288"/>
              <w:jc w:val="both"/>
            </w:pPr>
            <w:r>
              <w:t>Coordinates regulatory filings</w:t>
            </w:r>
          </w:p>
        </w:tc>
      </w:tr>
    </w:tbl>
    <w:p w14:paraId="14413A80">
      <w:pPr>
        <w:pStyle w:val="3"/>
        <w:keepNext w:val="0"/>
        <w:keepLines w:val="0"/>
        <w:bidi w:val="0"/>
        <w:spacing w:before="0" w:beforeAutospacing="0" w:after="281" w:afterAutospacing="0" w:line="360" w:lineRule="auto"/>
        <w:ind w:right="-288"/>
        <w:jc w:val="both"/>
        <w:rPr>
          <w:rFonts w:ascii="Aptos" w:hAnsi="Aptos" w:eastAsia="Aptos" w:cs="Aptos"/>
          <w:b/>
          <w:bCs/>
          <w:sz w:val="28"/>
          <w:szCs w:val="28"/>
          <w:lang w:val="en-US"/>
        </w:rPr>
      </w:pPr>
    </w:p>
    <w:p w14:paraId="589703E5">
      <w:pPr>
        <w:pStyle w:val="3"/>
        <w:keepNext w:val="0"/>
        <w:keepLines w:val="0"/>
        <w:bidi w:val="0"/>
        <w:spacing w:before="0" w:beforeAutospacing="0" w:after="281" w:afterAutospacing="0" w:line="360" w:lineRule="auto"/>
        <w:ind w:right="-288"/>
        <w:jc w:val="both"/>
        <w:rPr>
          <w:rFonts w:ascii="Aptos" w:hAnsi="Aptos" w:eastAsia="Aptos" w:cs="Aptos"/>
          <w:b/>
          <w:bCs/>
          <w:sz w:val="28"/>
          <w:szCs w:val="28"/>
          <w:lang w:val="en-US"/>
        </w:rPr>
      </w:pPr>
    </w:p>
    <w:p w14:paraId="6E492BDD">
      <w:pPr>
        <w:pStyle w:val="3"/>
        <w:keepNext w:val="0"/>
        <w:keepLines w:val="0"/>
        <w:bidi w:val="0"/>
        <w:spacing w:before="0" w:beforeAutospacing="0" w:after="281" w:afterAutospacing="0" w:line="360" w:lineRule="auto"/>
        <w:ind w:right="-288"/>
        <w:jc w:val="both"/>
      </w:pPr>
      <w:r>
        <w:rPr>
          <w:rFonts w:ascii="Aptos" w:hAnsi="Aptos" w:eastAsia="Aptos" w:cs="Aptos"/>
          <w:b/>
          <w:bCs/>
          <w:sz w:val="28"/>
          <w:szCs w:val="28"/>
          <w:lang w:val="en-US"/>
        </w:rPr>
        <w:t>Section 4: Step-by-Step Incident Recovery Playbook (Web Defacement &amp; Unauthorized Database Access)</w:t>
      </w:r>
    </w:p>
    <w:p w14:paraId="11F8E32F">
      <w:pPr>
        <w:pStyle w:val="8"/>
        <w:keepNext w:val="0"/>
        <w:keepLines w:val="0"/>
        <w:numPr>
          <w:ilvl w:val="0"/>
          <w:numId w:val="7"/>
        </w:numPr>
        <w:bidi w:val="0"/>
        <w:spacing w:before="0" w:beforeAutospacing="0" w:after="240" w:afterAutospacing="0" w:line="360" w:lineRule="auto"/>
        <w:ind w:right="-288"/>
        <w:contextualSpacing w:val="0"/>
        <w:jc w:val="both"/>
        <w:rPr>
          <w:rFonts w:ascii="Aptos" w:hAnsi="Aptos" w:eastAsia="Aptos" w:cs="Aptos"/>
          <w:b/>
          <w:bCs/>
          <w:sz w:val="24"/>
          <w:szCs w:val="24"/>
          <w:lang w:val="en-US"/>
        </w:rPr>
      </w:pPr>
      <w:r>
        <w:rPr>
          <w:rFonts w:ascii="Aptos" w:hAnsi="Aptos" w:eastAsia="Aptos" w:cs="Aptos"/>
          <w:b/>
          <w:bCs/>
          <w:sz w:val="24"/>
          <w:szCs w:val="24"/>
          <w:lang w:val="en-US"/>
        </w:rPr>
        <w:t>Step 1: Immediate Triage (0 - 15 mins)</w:t>
      </w:r>
    </w:p>
    <w:p w14:paraId="28E93C70">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Isolate web portal server at firewall level (reroute </w:t>
      </w:r>
      <w:bookmarkStart w:id="6" w:name="_Int_tqu926AH"/>
      <w:r>
        <w:rPr>
          <w:rFonts w:ascii="Aptos" w:hAnsi="Aptos" w:eastAsia="Aptos" w:cs="Aptos"/>
          <w:sz w:val="24"/>
          <w:szCs w:val="24"/>
          <w:lang w:val="en-US"/>
        </w:rPr>
        <w:t>traffic to</w:t>
      </w:r>
      <w:bookmarkEnd w:id="6"/>
      <w:r>
        <w:rPr>
          <w:rFonts w:ascii="Aptos" w:hAnsi="Aptos" w:eastAsia="Aptos" w:cs="Aptos"/>
          <w:sz w:val="24"/>
          <w:szCs w:val="24"/>
          <w:lang w:val="en-US"/>
        </w:rPr>
        <w:t xml:space="preserve"> maintenance page).</w:t>
      </w:r>
    </w:p>
    <w:p w14:paraId="39465DBF">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Freeze database </w:t>
      </w:r>
      <w:bookmarkStart w:id="7" w:name="_Int_smZgQKtR"/>
      <w:r>
        <w:rPr>
          <w:rFonts w:ascii="Aptos" w:hAnsi="Aptos" w:eastAsia="Aptos" w:cs="Aptos"/>
          <w:sz w:val="24"/>
          <w:szCs w:val="24"/>
          <w:lang w:val="en-US"/>
        </w:rPr>
        <w:t>user write</w:t>
      </w:r>
      <w:bookmarkEnd w:id="7"/>
      <w:r>
        <w:rPr>
          <w:rFonts w:ascii="Aptos" w:hAnsi="Aptos" w:eastAsia="Aptos" w:cs="Aptos"/>
          <w:sz w:val="24"/>
          <w:szCs w:val="24"/>
          <w:lang w:val="en-US"/>
        </w:rPr>
        <w:t xml:space="preserve"> access to prevent payload propagation.</w:t>
      </w:r>
    </w:p>
    <w:p w14:paraId="73F656D0">
      <w:pPr>
        <w:pStyle w:val="8"/>
        <w:keepNext w:val="0"/>
        <w:keepLines w:val="0"/>
        <w:numPr>
          <w:ilvl w:val="0"/>
          <w:numId w:val="7"/>
        </w:numPr>
        <w:bidi w:val="0"/>
        <w:spacing w:before="0" w:beforeAutospacing="0" w:after="240" w:afterAutospacing="0" w:line="360" w:lineRule="auto"/>
        <w:ind w:right="-288"/>
        <w:contextualSpacing w:val="0"/>
        <w:jc w:val="both"/>
        <w:rPr>
          <w:rFonts w:ascii="Aptos" w:hAnsi="Aptos" w:eastAsia="Aptos" w:cs="Aptos"/>
          <w:b/>
          <w:bCs/>
          <w:sz w:val="24"/>
          <w:szCs w:val="24"/>
          <w:lang w:val="en-US"/>
        </w:rPr>
      </w:pPr>
      <w:r>
        <w:rPr>
          <w:rFonts w:ascii="Aptos" w:hAnsi="Aptos" w:eastAsia="Aptos" w:cs="Aptos"/>
          <w:b/>
          <w:bCs/>
          <w:sz w:val="24"/>
          <w:szCs w:val="24"/>
          <w:lang w:val="en-US"/>
        </w:rPr>
        <w:t>Step 2: Evidence Preservation (15 - 45 mins)</w:t>
      </w:r>
    </w:p>
    <w:p w14:paraId="1FDB532B">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Capture volatile RAM memory dumps of affected web and database servers.</w:t>
      </w:r>
    </w:p>
    <w:p w14:paraId="48B16790">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Export web server access logs, WAF logs, and database transaction logs to secure forensic storage.</w:t>
      </w:r>
    </w:p>
    <w:p w14:paraId="5EA57545">
      <w:pPr>
        <w:pStyle w:val="8"/>
        <w:keepNext w:val="0"/>
        <w:keepLines w:val="0"/>
        <w:numPr>
          <w:ilvl w:val="0"/>
          <w:numId w:val="7"/>
        </w:numPr>
        <w:bidi w:val="0"/>
        <w:spacing w:before="0" w:beforeAutospacing="0" w:after="240" w:afterAutospacing="0" w:line="360" w:lineRule="auto"/>
        <w:ind w:right="-288"/>
        <w:contextualSpacing w:val="0"/>
        <w:jc w:val="both"/>
        <w:rPr>
          <w:rFonts w:ascii="Aptos" w:hAnsi="Aptos" w:eastAsia="Aptos" w:cs="Aptos"/>
          <w:b/>
          <w:bCs/>
          <w:sz w:val="24"/>
          <w:szCs w:val="24"/>
          <w:lang w:val="en-US"/>
        </w:rPr>
      </w:pPr>
      <w:r>
        <w:rPr>
          <w:rFonts w:ascii="Aptos" w:hAnsi="Aptos" w:eastAsia="Aptos" w:cs="Aptos"/>
          <w:b/>
          <w:bCs/>
          <w:sz w:val="24"/>
          <w:szCs w:val="24"/>
          <w:lang w:val="en-US"/>
        </w:rPr>
        <w:t>Step 3: Root Cause Analysis &amp; Eradication (45 mins - 3 hours)</w:t>
      </w:r>
    </w:p>
    <w:p w14:paraId="7BD886D9">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Analyze access logs for SQL injection or unauthenticated file upload exploitation.</w:t>
      </w:r>
    </w:p>
    <w:p w14:paraId="78CD042B">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Identify uploaded webshells using signature scanning and file-integrity monitoring tools.</w:t>
      </w:r>
    </w:p>
    <w:p w14:paraId="78309E77">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Purge malicious files, patch vulnerable web code/components, and audit administrative accounts.</w:t>
      </w:r>
    </w:p>
    <w:p w14:paraId="1FDADA52">
      <w:pPr>
        <w:pStyle w:val="8"/>
        <w:keepNext w:val="0"/>
        <w:keepLines w:val="0"/>
        <w:numPr>
          <w:ilvl w:val="0"/>
          <w:numId w:val="7"/>
        </w:numPr>
        <w:bidi w:val="0"/>
        <w:spacing w:before="0" w:beforeAutospacing="0" w:after="240" w:afterAutospacing="0" w:line="360" w:lineRule="auto"/>
        <w:ind w:right="-288"/>
        <w:contextualSpacing w:val="0"/>
        <w:jc w:val="both"/>
        <w:rPr>
          <w:rFonts w:ascii="Aptos" w:hAnsi="Aptos" w:eastAsia="Aptos" w:cs="Aptos"/>
          <w:b/>
          <w:bCs/>
          <w:sz w:val="24"/>
          <w:szCs w:val="24"/>
          <w:lang w:val="en-US"/>
        </w:rPr>
      </w:pPr>
      <w:r>
        <w:rPr>
          <w:rFonts w:ascii="Aptos" w:hAnsi="Aptos" w:eastAsia="Aptos" w:cs="Aptos"/>
          <w:b/>
          <w:bCs/>
          <w:sz w:val="24"/>
          <w:szCs w:val="24"/>
          <w:lang w:val="en-US"/>
        </w:rPr>
        <w:t>Step 4: System Verification &amp; Restoration (3 hours - 6 hours)</w:t>
      </w:r>
    </w:p>
    <w:p w14:paraId="083A3546">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Restore web root directory from </w:t>
      </w:r>
      <w:bookmarkStart w:id="8" w:name="_Int_JjGdKnCl"/>
      <w:r>
        <w:rPr>
          <w:rFonts w:ascii="Aptos" w:hAnsi="Aptos" w:eastAsia="Aptos" w:cs="Aptos"/>
          <w:sz w:val="24"/>
          <w:szCs w:val="24"/>
          <w:lang w:val="en-US"/>
        </w:rPr>
        <w:t>clean</w:t>
      </w:r>
      <w:bookmarkEnd w:id="8"/>
      <w:r>
        <w:rPr>
          <w:rFonts w:ascii="Aptos" w:hAnsi="Aptos" w:eastAsia="Aptos" w:cs="Aptos"/>
          <w:sz w:val="24"/>
          <w:szCs w:val="24"/>
          <w:lang w:val="en-US"/>
        </w:rPr>
        <w:t xml:space="preserve"> Git </w:t>
      </w:r>
      <w:bookmarkStart w:id="9" w:name="_Int_dGZOQT94"/>
      <w:r>
        <w:rPr>
          <w:rFonts w:ascii="Aptos" w:hAnsi="Aptos" w:eastAsia="Aptos" w:cs="Aptos"/>
          <w:sz w:val="24"/>
          <w:szCs w:val="24"/>
          <w:lang w:val="en-US"/>
        </w:rPr>
        <w:t>repository</w:t>
      </w:r>
      <w:bookmarkEnd w:id="9"/>
      <w:r>
        <w:rPr>
          <w:rFonts w:ascii="Aptos" w:hAnsi="Aptos" w:eastAsia="Aptos" w:cs="Aptos"/>
          <w:sz w:val="24"/>
          <w:szCs w:val="24"/>
          <w:lang w:val="en-US"/>
        </w:rPr>
        <w:t xml:space="preserve"> hash.</w:t>
      </w:r>
    </w:p>
    <w:p w14:paraId="2785A4A2">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Perform static and dynamic application security testing (SAST/DAST) on the patched environment.</w:t>
      </w:r>
    </w:p>
    <w:p w14:paraId="0519141F">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Re-enable database connectivity and remove maintenance mode.</w:t>
      </w:r>
    </w:p>
    <w:p w14:paraId="1CBCBD59">
      <w:pPr>
        <w:pStyle w:val="8"/>
        <w:keepNext w:val="0"/>
        <w:keepLines w:val="0"/>
        <w:numPr>
          <w:ilvl w:val="0"/>
          <w:numId w:val="7"/>
        </w:numPr>
        <w:bidi w:val="0"/>
        <w:spacing w:before="0" w:beforeAutospacing="0" w:after="240" w:afterAutospacing="0" w:line="360" w:lineRule="auto"/>
        <w:ind w:right="-288"/>
        <w:contextualSpacing w:val="0"/>
        <w:jc w:val="both"/>
        <w:rPr>
          <w:rFonts w:ascii="Aptos" w:hAnsi="Aptos" w:eastAsia="Aptos" w:cs="Aptos"/>
          <w:b/>
          <w:bCs/>
          <w:sz w:val="24"/>
          <w:szCs w:val="24"/>
          <w:lang w:val="en-US"/>
        </w:rPr>
      </w:pPr>
      <w:r>
        <w:rPr>
          <w:rFonts w:ascii="Aptos" w:hAnsi="Aptos" w:eastAsia="Aptos" w:cs="Aptos"/>
          <w:b/>
          <w:bCs/>
          <w:sz w:val="24"/>
          <w:szCs w:val="24"/>
          <w:lang w:val="en-US"/>
        </w:rPr>
        <w:t>Step 5: Mandatory Reporting (Post-Recovery)</w:t>
      </w:r>
    </w:p>
    <w:p w14:paraId="248A784C">
      <w:pPr>
        <w:pStyle w:val="8"/>
        <w:keepNext w:val="0"/>
        <w:keepLines w:val="0"/>
        <w:numPr>
          <w:ilvl w:val="1"/>
          <w:numId w:val="7"/>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Submit formal incident </w:t>
      </w:r>
      <w:bookmarkStart w:id="10" w:name="_Int_eh8GW8F0"/>
      <w:r>
        <w:rPr>
          <w:rFonts w:ascii="Aptos" w:hAnsi="Aptos" w:eastAsia="Aptos" w:cs="Aptos"/>
          <w:sz w:val="24"/>
          <w:szCs w:val="24"/>
          <w:lang w:val="en-US"/>
        </w:rPr>
        <w:t>report</w:t>
      </w:r>
      <w:bookmarkEnd w:id="10"/>
      <w:r>
        <w:rPr>
          <w:rFonts w:ascii="Aptos" w:hAnsi="Aptos" w:eastAsia="Aptos" w:cs="Aptos"/>
          <w:sz w:val="24"/>
          <w:szCs w:val="24"/>
          <w:lang w:val="en-US"/>
        </w:rPr>
        <w:t xml:space="preserve"> to CERT-In including IoCs, attack methodology, and timeline.</w:t>
      </w:r>
    </w:p>
    <w:p w14:paraId="3D95E126">
      <w:pPr>
        <w:pStyle w:val="3"/>
        <w:keepNext w:val="0"/>
        <w:keepLines w:val="0"/>
        <w:bidi w:val="0"/>
        <w:spacing w:before="0" w:beforeAutospacing="0" w:after="281" w:afterAutospacing="0" w:line="360" w:lineRule="auto"/>
        <w:ind w:right="-288"/>
        <w:jc w:val="both"/>
      </w:pPr>
      <w:r>
        <w:rPr>
          <w:rFonts w:ascii="Aptos" w:hAnsi="Aptos" w:eastAsia="Aptos" w:cs="Aptos"/>
          <w:b/>
          <w:bCs/>
          <w:sz w:val="28"/>
          <w:szCs w:val="28"/>
          <w:lang w:val="en-US"/>
        </w:rPr>
        <w:t>Section 5: References &amp; Standards</w:t>
      </w:r>
    </w:p>
    <w:p w14:paraId="728A2AAE">
      <w:pPr>
        <w:pStyle w:val="8"/>
        <w:keepNext w:val="0"/>
        <w:keepLines w:val="0"/>
        <w:numPr>
          <w:ilvl w:val="0"/>
          <w:numId w:val="8"/>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NIST Special Publication 800-61 Revision 2: </w:t>
      </w:r>
      <w:r>
        <w:rPr>
          <w:rFonts w:ascii="Aptos" w:hAnsi="Aptos" w:eastAsia="Aptos" w:cs="Aptos"/>
          <w:i/>
          <w:iCs/>
          <w:sz w:val="24"/>
          <w:szCs w:val="24"/>
          <w:lang w:val="en-US"/>
        </w:rPr>
        <w:t>Computer Security Incident Handling Guide</w:t>
      </w:r>
      <w:r>
        <w:rPr>
          <w:rFonts w:ascii="Aptos" w:hAnsi="Aptos" w:eastAsia="Aptos" w:cs="Aptos"/>
          <w:sz w:val="24"/>
          <w:szCs w:val="24"/>
          <w:lang w:val="en-US"/>
        </w:rPr>
        <w:t>.</w:t>
      </w:r>
    </w:p>
    <w:p w14:paraId="2B04E876">
      <w:pPr>
        <w:pStyle w:val="8"/>
        <w:keepNext w:val="0"/>
        <w:keepLines w:val="0"/>
        <w:numPr>
          <w:ilvl w:val="0"/>
          <w:numId w:val="8"/>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 xml:space="preserve">CERT-In (Indian Computer Emergency Response Team): </w:t>
      </w:r>
      <w:r>
        <w:rPr>
          <w:rFonts w:ascii="Aptos" w:hAnsi="Aptos" w:eastAsia="Aptos" w:cs="Aptos"/>
          <w:i/>
          <w:iCs/>
          <w:sz w:val="24"/>
          <w:szCs w:val="24"/>
          <w:lang w:val="en-US"/>
        </w:rPr>
        <w:t>Cyber Crisis Management Plan for Government Organizations</w:t>
      </w:r>
      <w:r>
        <w:rPr>
          <w:rFonts w:ascii="Aptos" w:hAnsi="Aptos" w:eastAsia="Aptos" w:cs="Aptos"/>
          <w:sz w:val="24"/>
          <w:szCs w:val="24"/>
          <w:lang w:val="en-US"/>
        </w:rPr>
        <w:t>.</w:t>
      </w:r>
    </w:p>
    <w:p w14:paraId="65CFC75A">
      <w:pPr>
        <w:pStyle w:val="8"/>
        <w:keepNext w:val="0"/>
        <w:keepLines w:val="0"/>
        <w:numPr>
          <w:ilvl w:val="0"/>
          <w:numId w:val="8"/>
        </w:numPr>
        <w:bidi w:val="0"/>
        <w:spacing w:before="0" w:beforeAutospacing="0" w:after="240" w:afterAutospacing="0" w:line="360" w:lineRule="auto"/>
        <w:ind w:right="-288"/>
        <w:contextualSpacing w:val="0"/>
        <w:jc w:val="both"/>
        <w:rPr>
          <w:rFonts w:ascii="Aptos" w:hAnsi="Aptos" w:eastAsia="Aptos" w:cs="Aptos"/>
          <w:sz w:val="24"/>
          <w:szCs w:val="24"/>
          <w:lang w:val="en-US"/>
        </w:rPr>
      </w:pPr>
      <w:r>
        <w:rPr>
          <w:rFonts w:ascii="Aptos" w:hAnsi="Aptos" w:eastAsia="Aptos" w:cs="Aptos"/>
          <w:sz w:val="24"/>
          <w:szCs w:val="24"/>
          <w:lang w:val="en-US"/>
        </w:rPr>
        <w:t>MITRE ATT&amp;CK Framework for Enterprise (Matrix for Public Administration).</w:t>
      </w:r>
    </w:p>
    <w:p w14:paraId="57D5749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484CF5"/>
    <w:multiLevelType w:val="multilevel"/>
    <w:tmpl w:val="0A484C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C3A55C2"/>
    <w:multiLevelType w:val="multilevel"/>
    <w:tmpl w:val="0C3A55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06A3132"/>
    <w:multiLevelType w:val="multilevel"/>
    <w:tmpl w:val="106A31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CE290EE"/>
    <w:multiLevelType w:val="multilevel"/>
    <w:tmpl w:val="2CE290E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307A1B94"/>
    <w:multiLevelType w:val="multilevel"/>
    <w:tmpl w:val="307A1B9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A1AB711"/>
    <w:multiLevelType w:val="multilevel"/>
    <w:tmpl w:val="4A1AB71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203A1E3"/>
    <w:multiLevelType w:val="multilevel"/>
    <w:tmpl w:val="6203A1E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7A8C4521"/>
    <w:multiLevelType w:val="multilevel"/>
    <w:tmpl w:val="7A8C45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4"/>
  </w:num>
  <w:num w:numId="3">
    <w:abstractNumId w:val="3"/>
  </w:num>
  <w:num w:numId="4">
    <w:abstractNumId w:val="0"/>
  </w:num>
  <w:num w:numId="5">
    <w:abstractNumId w:val="1"/>
  </w:num>
  <w:num w:numId="6">
    <w:abstractNumId w:val="2"/>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34054A"/>
    <w:rsid w:val="01F78B79"/>
    <w:rsid w:val="03206B9E"/>
    <w:rsid w:val="03F634A4"/>
    <w:rsid w:val="04DCC164"/>
    <w:rsid w:val="06207B35"/>
    <w:rsid w:val="094E905C"/>
    <w:rsid w:val="0EF545CC"/>
    <w:rsid w:val="12E52EB5"/>
    <w:rsid w:val="13A3C373"/>
    <w:rsid w:val="1551C851"/>
    <w:rsid w:val="1866048F"/>
    <w:rsid w:val="18AB9A6A"/>
    <w:rsid w:val="1AAB1374"/>
    <w:rsid w:val="1D340181"/>
    <w:rsid w:val="202BB90E"/>
    <w:rsid w:val="21B50637"/>
    <w:rsid w:val="21E37285"/>
    <w:rsid w:val="22403778"/>
    <w:rsid w:val="2558470A"/>
    <w:rsid w:val="2F39A1AF"/>
    <w:rsid w:val="305E6A71"/>
    <w:rsid w:val="3126CFAA"/>
    <w:rsid w:val="321DD409"/>
    <w:rsid w:val="3743A33D"/>
    <w:rsid w:val="3A34054A"/>
    <w:rsid w:val="3D43EBD0"/>
    <w:rsid w:val="3E7921D1"/>
    <w:rsid w:val="3F09AD31"/>
    <w:rsid w:val="3F81E6D8"/>
    <w:rsid w:val="404B8AEA"/>
    <w:rsid w:val="415EFCFA"/>
    <w:rsid w:val="463BE24D"/>
    <w:rsid w:val="473BF911"/>
    <w:rsid w:val="4D3689F3"/>
    <w:rsid w:val="503AF9E7"/>
    <w:rsid w:val="5388829C"/>
    <w:rsid w:val="53DD6258"/>
    <w:rsid w:val="5415F511"/>
    <w:rsid w:val="54F59CEE"/>
    <w:rsid w:val="559B900F"/>
    <w:rsid w:val="5CF554A1"/>
    <w:rsid w:val="61B4AA8B"/>
    <w:rsid w:val="64E004C2"/>
    <w:rsid w:val="676362FD"/>
    <w:rsid w:val="6AEB218D"/>
    <w:rsid w:val="6DF84D8B"/>
    <w:rsid w:val="716B8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paragraph" w:styleId="4">
    <w:name w:val="heading 4"/>
    <w:basedOn w:val="1"/>
    <w:next w:val="1"/>
    <w:unhideWhenUsed/>
    <w:qFormat/>
    <w:uiPriority w:val="9"/>
    <w:pPr>
      <w:keepNext/>
      <w:keepLines/>
      <w:spacing w:before="80" w:after="40"/>
      <w:outlineLvl w:val="3"/>
    </w:pPr>
    <w:rPr>
      <w:rFonts w:eastAsiaTheme="majorEastAsia" w:cstheme="majorBidi"/>
      <w:i/>
      <w:iCs/>
      <w:color w:val="156082" w:themeColor="accent1" w:themeTint="FF"/>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986</Words>
  <Characters>7003</Characters>
  <TotalTime>10</TotalTime>
  <ScaleCrop>false</ScaleCrop>
  <LinksUpToDate>false</LinksUpToDate>
  <CharactersWithSpaces>8103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2026-09-27T14:19:00Z</dcterms:created>
  <dc:creator>Kamu ....</dc:creator>
  <cp:lastModifiedBy>Ramya</cp:lastModifiedBy>
  <dcterms:modified xsi:type="dcterms:W3CDTF">2026-09-27T14:53:28Z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eyJoZGlkIjoiMDhhNmM1Yzg0ZjZiNmI1ZjYxNjQ5MjMxMTQ0NGYxNmUifQ==</vt:lpwstr>
  </property>
  <property fmtid="{D5CDD505-2E9C-101B-9397-08002B2CF9AE}" pid="3" name="KSOProductBuildVer">
    <vt:lpwstr>1033-12.1.0.28485</vt:lpwstr>
  </property>
  <property fmtid="{D5CDD505-2E9C-101B-9397-08002B2CF9AE}" pid="4" name="ICV">
    <vt:lpwstr>E66C46F4FDBE4AC4B32CEF55A0E5E989_13</vt:lpwstr>
  </property>
</Properties>
</file>