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pacing w:before="0" w:after="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Data Collection and Preprocessing Phase</w:t>
      </w:r>
    </w:p>
    <w:p>
      <w:pPr>
        <w:widowControl w:val="false"/>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 june 2024</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tabs>
                <w:tab w:val="left" w:pos="1131"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739720</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Student Adaptability Level of Online Education </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Marks</w:t>
            </w:r>
          </w:p>
        </w:tc>
      </w:tr>
    </w:tbl>
    <w:p>
      <w:pPr>
        <w:widowControl w:val="false"/>
        <w:spacing w:before="0" w:after="160" w:line="259"/>
        <w:ind w:right="0" w:left="0" w:firstLine="0"/>
        <w:jc w:val="left"/>
        <w:rPr>
          <w:rFonts w:ascii="Arial Rounded MT Bold" w:hAnsi="Arial Rounded MT Bold" w:cs="Arial Rounded MT Bold" w:eastAsia="Arial Rounded MT Bold"/>
          <w:color w:val="auto"/>
          <w:spacing w:val="0"/>
          <w:position w:val="0"/>
          <w:sz w:val="24"/>
          <w:shd w:fill="auto" w:val="clear"/>
        </w:rPr>
      </w:pPr>
    </w:p>
    <w:p>
      <w:pPr>
        <w:widowControl w:val="false"/>
        <w:spacing w:before="0" w:after="160" w:line="259"/>
        <w:ind w:right="0" w:left="0" w:firstLine="0"/>
        <w:jc w:val="left"/>
        <w:rPr>
          <w:rFonts w:ascii="Arial Rounded MT Bold" w:hAnsi="Arial Rounded MT Bold" w:cs="Arial Rounded MT Bold" w:eastAsia="Arial Rounded MT Bold"/>
          <w:color w:val="auto"/>
          <w:spacing w:val="0"/>
          <w:position w:val="0"/>
          <w:sz w:val="24"/>
          <w:shd w:fill="auto" w:val="clear"/>
        </w:rPr>
      </w:pPr>
      <w:r>
        <w:rPr>
          <w:rFonts w:ascii="Arial Rounded MT Bold" w:hAnsi="Arial Rounded MT Bold" w:cs="Arial Rounded MT Bold" w:eastAsia="Arial Rounded MT Bold"/>
          <w:color w:val="auto"/>
          <w:spacing w:val="0"/>
          <w:position w:val="0"/>
          <w:sz w:val="24"/>
          <w:shd w:fill="auto" w:val="clear"/>
        </w:rPr>
        <w:t xml:space="preserve">Student Adaptability Report Template</w:t>
      </w:r>
    </w:p>
    <w:p>
      <w:pPr>
        <w:widowControl w:val="false"/>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The Student Adaptability Report Template will summarize issues related to student adaptability in online education, including severity levels and resolution plans. This will aid in systematically identifying and addressing challenges faced by students</w:t>
      </w:r>
    </w:p>
    <w:tbl>
      <w:tblPr/>
      <w:tblGrid>
        <w:gridCol w:w="1320"/>
        <w:gridCol w:w="3420"/>
        <w:gridCol w:w="1185"/>
        <w:gridCol w:w="3450"/>
      </w:tblGrid>
      <w:tr>
        <w:trPr>
          <w:trHeight w:val="1055" w:hRule="auto"/>
          <w:jc w:val="left"/>
          <w:cantSplit w:val="1"/>
        </w:trPr>
        <w:tc>
          <w:tcPr>
            <w:tcW w:w="13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 Source</w:t>
            </w:r>
          </w:p>
        </w:tc>
        <w:tc>
          <w:tcPr>
            <w:tcW w:w="34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 Quality Issue </w:t>
            </w:r>
          </w:p>
        </w:tc>
        <w:tc>
          <w:tcPr>
            <w:tcW w:w="11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Severity</w:t>
            </w:r>
          </w:p>
        </w:tc>
        <w:tc>
          <w:tcPr>
            <w:tcW w:w="345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Resolution Plan</w:t>
            </w:r>
          </w:p>
        </w:tc>
      </w:tr>
      <w:tr>
        <w:trPr>
          <w:trHeight w:val="1065" w:hRule="auto"/>
          <w:jc w:val="left"/>
          <w:cantSplit w:val="1"/>
        </w:trPr>
        <w:tc>
          <w:tcPr>
            <w:tcW w:w="13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Survey Data</w:t>
            </w:r>
          </w:p>
        </w:tc>
        <w:tc>
          <w:tcPr>
            <w:tcW w:w="34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Difficulty in accessing online platforms</w:t>
            </w:r>
          </w:p>
        </w:tc>
        <w:tc>
          <w:tcPr>
            <w:tcW w:w="11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High</w:t>
            </w:r>
          </w:p>
        </w:tc>
        <w:tc>
          <w:tcPr>
            <w:tcW w:w="345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Implement user-friendly interfaces and provide training sessions</w:t>
            </w:r>
          </w:p>
        </w:tc>
      </w:tr>
      <w:tr>
        <w:trPr>
          <w:trHeight w:val="1753" w:hRule="auto"/>
          <w:jc w:val="left"/>
          <w:cantSplit w:val="1"/>
        </w:trPr>
        <w:tc>
          <w:tcPr>
            <w:tcW w:w="13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Usage Logs</w:t>
            </w:r>
          </w:p>
        </w:tc>
        <w:tc>
          <w:tcPr>
            <w:tcW w:w="34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Low engagement in online courses</w:t>
            </w:r>
          </w:p>
        </w:tc>
        <w:tc>
          <w:tcPr>
            <w:tcW w:w="11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Moderate</w:t>
            </w:r>
          </w:p>
        </w:tc>
        <w:tc>
          <w:tcPr>
            <w:tcW w:w="345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Develop interactive content and regular engagement activities.</w:t>
            </w:r>
          </w:p>
        </w:tc>
      </w:tr>
      <w:tr>
        <w:trPr>
          <w:trHeight w:val="1753" w:hRule="auto"/>
          <w:jc w:val="left"/>
          <w:cantSplit w:val="1"/>
        </w:trPr>
        <w:tc>
          <w:tcPr>
            <w:tcW w:w="13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Feedback Forms</w:t>
            </w:r>
          </w:p>
        </w:tc>
        <w:tc>
          <w:tcPr>
            <w:tcW w:w="34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Technical issues during live sessions</w:t>
            </w:r>
          </w:p>
        </w:tc>
        <w:tc>
          <w:tcPr>
            <w:tcW w:w="11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High</w:t>
            </w:r>
          </w:p>
        </w:tc>
        <w:tc>
          <w:tcPr>
            <w:tcW w:w="345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Enhance technical support and infrastructure.</w:t>
            </w:r>
          </w:p>
        </w:tc>
      </w:tr>
      <w:tr>
        <w:trPr>
          <w:trHeight w:val="1753" w:hRule="auto"/>
          <w:jc w:val="left"/>
          <w:cantSplit w:val="1"/>
        </w:trPr>
        <w:tc>
          <w:tcPr>
            <w:tcW w:w="13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Interview Data</w:t>
            </w:r>
          </w:p>
        </w:tc>
        <w:tc>
          <w:tcPr>
            <w:tcW w:w="34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Lack of motivation and self-discipline</w:t>
            </w:r>
          </w:p>
        </w:tc>
        <w:tc>
          <w:tcPr>
            <w:tcW w:w="11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Moderate</w:t>
            </w:r>
          </w:p>
        </w:tc>
        <w:tc>
          <w:tcPr>
            <w:tcW w:w="345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Incorporate motivational modules and time management workshops.</w:t>
            </w:r>
          </w:p>
        </w:tc>
      </w:tr>
      <w:tr>
        <w:trPr>
          <w:trHeight w:val="1753" w:hRule="auto"/>
          <w:jc w:val="left"/>
          <w:cantSplit w:val="1"/>
        </w:trPr>
        <w:tc>
          <w:tcPr>
            <w:tcW w:w="13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Performance Data</w:t>
            </w:r>
          </w:p>
        </w:tc>
        <w:tc>
          <w:tcPr>
            <w:tcW w:w="34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Decline in academic performance in online settings</w:t>
            </w:r>
          </w:p>
        </w:tc>
        <w:tc>
          <w:tcPr>
            <w:tcW w:w="11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High</w:t>
            </w:r>
          </w:p>
        </w:tc>
        <w:tc>
          <w:tcPr>
            <w:tcW w:w="345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Personalized tutoring and additional support resources.</w:t>
            </w:r>
          </w:p>
        </w:tc>
      </w:tr>
    </w:tbl>
    <w:p>
      <w:pPr>
        <w:widowControl w:val="false"/>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